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B-7759/2009 vom 20. April 2010</w:t>
      </w:r>
    </w:p>
    <w:p>
      <w:r>
        <w:t>Bundesverwaltungsgericht, 2010-04-20, DE</w:t>
      </w:r>
    </w:p>
    <w:p>
      <w:r>
        <w:rPr>
          <w:b/>
        </w:rPr>
        <w:t xml:space="preserve">Quelle: </w:t>
      </w:r>
      <w:r>
        <w:t>https://mcp.opencaselaw.ch/entscheid/bvger_B-7759_2009</w:t>
      </w:r>
    </w:p>
    <w:p>
      <w:r>
        <w:t>FR: TAF B-7759/2009 du 20 avril 2010</w:t>
      </w:r>
    </w:p>
    <w:p>
      <w:r>
        <w:t>IT: TAF B-7759/2009 del 20 aprile 2010</w:t>
      </w:r>
    </w:p>
    <w:p>
      <w:pPr>
        <w:pStyle w:val="Heading2"/>
      </w:pPr>
      <w:r>
        <w:t>Regeste</w:t>
      </w:r>
    </w:p>
    <w:p>
      <w:r>
        <w:t>Kostenvorschuss","Berufsprüfung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300.- werden der Beschwerdeführerin auferlegt. Sie werden mit dem geleisteten Kostenvorschuss von Fr. 500.- verrechnet. Der Saldobetrag von Fr. 200.- ist ihr zurück zu erstatten.</w:t>
      </w:r>
    </w:p>
    <w:p>
      <w:r>
        <w:rPr>
          <w:b/>
        </w:rPr>
        <w:t>E. 3</w:t>
      </w:r>
    </w:p>
    <w:p>
      <w:r>
        <w:t>Dieses Urteil geht an: die Beschwerdeführerin (Einschreiben; Beilagen: Rückerstattungsformular, Akten retour) die Vorinstanz (Ref-Nr. 122; Einschreiben, Beilage: Akten retour) die Erstinstanz (Einschreiben) Die vorsitzende Richterin: Der Gerichtsschreiber: Vera Marantelli Roger Mallepell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