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B-765/2014 vom 16. November 2022</w:t>
      </w:r>
    </w:p>
    <w:p>
      <w:r>
        <w:t>Bundesverwaltungsgericht, 2022-11-16, DE</w:t>
      </w:r>
    </w:p>
    <w:p>
      <w:r>
        <w:rPr>
          <w:b/>
        </w:rPr>
        <w:t xml:space="preserve">Quelle: </w:t>
      </w:r>
      <w:r>
        <w:t>https://mcp.opencaselaw.ch/entscheid/bvger_B-765_2014</w:t>
      </w:r>
    </w:p>
    <w:p>
      <w:r>
        <w:t>FR: TAF B-765/2014 du 16 novembre 2022</w:t>
      </w:r>
    </w:p>
    <w:p>
      <w:r>
        <w:t>IT: TAF B-765/2014 del 16 novembre 2022</w:t>
      </w:r>
    </w:p>
    <w:p>
      <w:pPr>
        <w:pStyle w:val="Heading2"/>
      </w:pPr>
      <w:r>
        <w:t>Regeste</w:t>
      </w:r>
    </w:p>
    <w:p>
      <w:r>
        <w:t>Unzulässige Wettbewerbsabreden</w:t>
      </w:r>
    </w:p>
    <w:p>
      <w:pPr>
        <w:pStyle w:val="Heading2"/>
      </w:pPr>
      <w:r>
        <w:t>Erwägungen</w:t>
      </w:r>
    </w:p>
    <w:p>
      <w:r>
        <w:rPr>
          <w:b/>
        </w:rPr>
        <w:t>E. 1</w:t>
      </w:r>
    </w:p>
    <w:p>
      <w:r>
        <w:t>Prozessuales 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w:t>
      </w:r>
    </w:p>
    <w:p>
      <w:r>
        <w:t>B-765/2014 Seite 7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von Verfahrenskosten von Fr. 96'588.– (in solidarischer Haftung für den Gesamtbetrag von Fr. 1'313'630.–) verpflichtet (Dispositiv Ziffer 4). Als materielle Verfügungsadressatinnen sind sie von der angefochtenen Verfügung besonders berührt und zur Beschwerdeführung legitimiert. Da die übrigen Sachurteilsvoraussetzungen erfüllt sind, ist auf die Beschwerde im soeben erwähnten Rahmen einzutreten.</w:t>
      </w:r>
    </w:p>
    <w:p>
      <w:r>
        <w:rPr>
          <w:b/>
        </w:rPr>
        <w:t>E. 1.3.1</w:t>
      </w:r>
    </w:p>
    <w:p>
      <w:r>
        <w:t>Den Beschwerdeführerinnen wird in der angefochtenen Verfügung keine Sanktion auferlegt, da der von der Vorinstanz ermittelte Sanktions- betrag von Fr. 15'846'573.– ihnen gegenüber im Rahmen der Bonusrege- lung vollständig erlassen worden ist (vgl. A.f). Soweit die Beschwerdefüh- rerinnen die der Sanktionierung gewidmete Ziffer 2 des Dispositivs anfech- ten, ist daher mangels Beschwer auf ihre Beschwerde nicht einzutreten.</w:t>
      </w:r>
    </w:p>
    <w:p>
      <w:r>
        <w:rPr>
          <w:b/>
        </w:rPr>
        <w:t>E. 1.3.2</w:t>
      </w:r>
    </w:p>
    <w:p>
      <w:r>
        <w:t>Dass die Beschwerdeführerinnen ihre Beschwerdelegitimation im Er- gebnis auch damit begründen, ihnen drohten wegen der behaupteten Ab- reden bei Frachtraten und der angeblichen Gesamtabrede im Ausland zi- vile Schadenersatzklagen, wenn die "(teils unzutreffenden, aber [hypothe- tisch] mangels Anfechtung in Rechtskraft erwachsenden) Feststellungen in der Verfügung" nicht aufgehoben würden (2[…],8) vermag daran nichts zu ändern. Diese Fragestellung beschlägt ausschliesslich das Beschwerde- verfahren […], das mit (dem nunmehr rechtskräftigen) Urteil […] abge- schlossen wurde. Streitgegenstand bildete dort die allfällige Publikation der angefochtenen Sanktionsverfügung, d. h. der Umfang notwendiger Anony- misierungen zum Sachverhalt.</w:t>
      </w:r>
    </w:p>
    <w:p>
      <w:r>
        <w:t>B-765/2014 Seite 8</w:t>
      </w:r>
    </w:p>
    <w:p>
      <w:r>
        <w:rPr>
          <w:b/>
        </w:rPr>
        <w:t>E. 1.3.3</w:t>
      </w:r>
    </w:p>
    <w:p>
      <w:r>
        <w:t>Soweit die Beschwerdeführerinnen die Einstellung des Verfahrens beantragen (2[…],21,65), ist auf die Beschwerde praxisgemäss nicht einzu- treten (vgl. Urteile des BVGer B-2050/2007 vom 24. Februar 2010 E. 1.2, B-6180/2013 vom 29. April 2014 E. 1.4, B-845/2015 vom 19. Dezember 2017 E. 1.3; B-3938/2013 vom 30. Oktober 2019 E. 1.3; vgl. auch das Urteil B-3626/2017 vom 27. November 2019 E. 1).</w:t>
      </w:r>
    </w:p>
    <w:p>
      <w:r>
        <w:rPr>
          <w:b/>
        </w:rPr>
        <w:t>E. 2</w:t>
      </w:r>
    </w:p>
    <w:p>
      <w:r>
        <w:t>Aufl. 2016, Art. 7 Rz. 19; CHRISTOPH AUER/ANJA MARTINA BINDER, in: DIKE-Kommentar VwVG, 2. Aufl. 2019, Art. 12 Rz. 11). Massgebend für die Bestimmung des Streitgegenstandes ist lediglich die rechtliche Wirkung, nicht die Begründung oder Herleitung (FLÜCKIGER, Praxiskommentar VwVG, a.a.O., Art. 7 Rz. 19).</w:t>
      </w:r>
    </w:p>
    <w:p>
      <w:r>
        <w:rPr>
          <w:b/>
        </w:rPr>
        <w:t>E. 2.1</w:t>
      </w:r>
    </w:p>
    <w:p>
      <w:r>
        <w:t>Streitgegenstand einer gerichtlichen Prüfung ist das Rechtsverhältnis, das Gegenstand der angefochtenen Verfügung – des Anfechtungsgegen- standes – bildet, soweit es im Streite liegt. Innerhalb des Anfechtungsge- genstandes bestimmen die Anträge der beschwerdeführenden Partei den Streitgegenstand (THOMAS FLÜCKIGER, in: Praxiskommentar VwVG,</w:t>
      </w:r>
    </w:p>
    <w:p>
      <w:r>
        <w:rPr>
          <w:b/>
        </w:rPr>
        <w:t>E. 2.2</w:t>
      </w:r>
    </w:p>
    <w:p>
      <w:r>
        <w:t>Der vorliegende Streit liegt in einem Spannungsfeld landes- und völ- kerrechtlicher Vorschriften, welche nach Massgabe des Auswirkungsprin- zips unterschiedliche Behördenzuständigkeiten (EU, Schweiz und Dritt- staaten) und Sanktionskompetenzen vorsehen. Deswegen waren die ge- naue Kompetenzabgrenzung wie auch die Frage des anwendbaren Rechts vor der Vorinstanz teilweise unklar. Das zeigt sich nicht nur anhand der vergleichsweise langen Untersuchungsdauer, sondern auch anhand der Struktur der angefochtenen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w:t>
      </w:r>
    </w:p>
    <w:p>
      <w:r>
        <w:t>B-765/2014 Seite 9 haltselemente erörtert, die ausserhalb der Beurteilungskompetenz der Vor- instanz liegen, ebenso Kontakte, die sich als zulässig erwiesen oder Zeit- räume vor Einführung direkter Sanktionen betreffen. Die Frage, welche Sachverhaltskomplexe – im Lichte der vorinstanzlichen Zuständigkeiten und Sanktionskompetenzen – vom Bundesverwaltungs- gericht überhaupt beurteilt werden müssen und welche Sachverhalte als nicht rechtserheblich ausgeblendet werden dürfen, kann hier jedoch offen- bleiben. Die Beschwerdeführerinnen wurden in der Dispositiv Ziffer 2 – als einziges Luftfahrtunternehmen – wegen des ihnen zugestandenen voll- ständigen Sanktionserlasses nicht mit einem Sanktionsbetrag belastet. Da- her ist auf ihre diese Ziffer betreffenden Anträge nicht einzutreten (vgl. E. 1.3.1) und auf die diesbezüglichen Einwände nicht weiter einzugehen.</w:t>
      </w:r>
    </w:p>
    <w:p>
      <w:r>
        <w:rPr>
          <w:b/>
        </w:rPr>
        <w:t>E. 2.3</w:t>
      </w:r>
    </w:p>
    <w:p>
      <w:r>
        <w:t>Der Streitgegenstand des vorliegenden Verfahrens erstreckt sich somit ausgehend von den Rechtsbegehren, auf die einzutreten ist (vgl. E. 1.2), auf zwei Fragen: o auf das in der Dispositiv Ziffer 1 den Beschwerdeführerinnen aufer- legte, angeblich zu weitreichende Verbot des Preisinformationsaus- tauschs ausserhalb des eigenen Konzernverbandes sowie o auf die Auferlegung der vorinstanzlichen Verfahrenskosten von Fr. 96'588.– (unter solidarischer Haftung für den Gesamtbetrag von Fr. 1'313'630.–) in der Dispositiv Ziffer 4.</w:t>
      </w:r>
    </w:p>
    <w:p>
      <w:r>
        <w:rPr>
          <w:b/>
        </w:rPr>
        <w:t>E. 3</w:t>
      </w:r>
    </w:p>
    <w:p>
      <w:r>
        <w:t>Verbot von Preisabsprachen (Dispositiv Ziffer 1)</w:t>
      </w:r>
    </w:p>
    <w:p>
      <w:r>
        <w:rPr>
          <w:b/>
        </w:rPr>
        <w:t>E. 3.1</w:t>
      </w:r>
    </w:p>
    <w:p>
      <w:r>
        <w:t>Die Dispositiv Ziffer 1 der Verfügung lautet wie folgt: "Den Parteien […] wird untersagt, sich ausserhalb des eigenen Konzern- verbandes bezüglich Luftfrachtdienstleistungen gegenseitig über Preise, Preiselemente und Preisfestsetzungsmechanismen abzusprechen bezie- hungsweise entsprechende Informationen auszutauschen, soweit dies durch entsprechende Luftverkehrsabkommen nicht ausdrücklich erlaubt ist oder im Rahmen einer Allianz erfolgt, für die eine Freistellung gemäss EU-Luftverkehrsabkommen der zuständigen Behörde vorliegt." Die Beschwerdeführerinnen beanstanden das verfügte Preiskartell-Verbot als zu weitreichend formuliert (2[…],8,60-63), was die zukünftige Geschäfts- entwicklung behindern würde. Nicht jeder Informationsaustausch bezwe- cke oder bewirke eine Wettbewerbsbeschränkung.</w:t>
      </w:r>
    </w:p>
    <w:p>
      <w:r>
        <w:t>B-765/2014 Seite 10 Die Dispo Ziffer 1 sei zu unbestimmt formuliert, weil für ein nicht genügend präzise definiertes Verhalten Sanktionen angedroht würden. Sanktionsdro- hungen nach dem Kartellgesetz hätten strafrechtsähnlichen Charakter, weshalb das verfassungsrechtliche Bestimmtheitsgebot zur Anwendung gelange. Das Verbot sei sodann auch zu restriktiv formuliert, weil jede Qua- lifikation der vom Verbot erfassten Informationen als nicht öffentlich be- kannte Informationen über aktuelle oder zukünftige Preise beziehungs- weise Preiselemente fehle. So würde auch ein wettbewerbsrechtlich unbe- denklicher Informationsaustausch (z.B. im Rahmen der IATA) verboten, ob- wohl dies allenfalls prokompetitive Wirkung haben könnte (wie z.B. Trans- parenz gegenüber den Kunden, Effizienzvorteile).</w:t>
      </w:r>
    </w:p>
    <w:p>
      <w:r>
        <w:rPr>
          <w:b/>
        </w:rPr>
        <w:t>E. 3.2</w:t>
      </w:r>
    </w:p>
    <w:p>
      <w:r>
        <w:t>Die Vorinstanz hält dem entgegen, das Dispositiv müsse nicht die ge- samte Begründung wiederholen. Die Dispositiv Ziffer 1 verbiete nur dieje- nigen Verhaltensweisen, die im Rahmen der Begründung als Tatbestands- elemente des festgestellten Kartellrechtsverstosses herangezogen wer- den. Die vorliegenden Wettbewerbsbeschränkungen liessen sich ohne Weiteres durch ein Unterlassen der wettbewerbsbeschränkenden Hand- lungen beseitigen. Andere Massnahmen seien nicht angezeigt. Daher müsse den Parteien verboten werden, sich konzernextern zu Luftfracht- dienstleistungen gegenseitig über Preise, Preiselemente und Preisfestset- zungsmechanismen abzusprechen oder entsprechende Informationen auszutauschen, soweit dies nicht ausdrücklich in Luftverkehrsabkommen erlaubt sei. Widerhandlungen gegen das anzuordnende Verbot könnten mit Verwaltungs- und Strafsanktionen belegt werden. Da sich die Sanktionier- barkeit klar aus dem Gesetz ergebe, dürfe auf eine entsprechende lediglich deklaratorische, nicht konstitutiv wirkende Sanktionsdrohung im Dispositiv verzichtet werden (1,1640 ff.). Die Dispositiv Ziffer 1 sei zudem weder zu unbestimmt noch zu restriktiv. Sie halte konkret fest, dass es den Parteien verboten sei, sich gegenseitig zu Luftfrachtdienstleistungen über Preise, Preiselemente und Preisfestset- zungsmechanismen abzusprechen oder entsprechende Informationen auszutauschen (3[…],23 f.). So gesehen gehe die Dispositiv Ziffer 1 nicht über die wettbewerbsrechtlichen Bestimmungen hinaus. Diese Ziffer sei deklaratorisch, da sie sich im Rahmen des Verbots von Art. 8 LVA EU-CH bewege und sämtliche Formen von Preisabsprachen erfasse.</w:t>
      </w:r>
    </w:p>
    <w:p>
      <w:r>
        <w:t>B-765/2014 Seite 11</w:t>
      </w:r>
    </w:p>
    <w:p>
      <w:r>
        <w:rPr>
          <w:b/>
        </w:rPr>
        <w:t>E. 3.3.1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E.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E. 4.4, insb. E. 5.7, wo aufgrund der in den E. 5.3, 5.4.4, 5.5.2 dargelegten Verhältnisse eine "ausreichende" Wieder- holungsgefahr bejaht wird). In diesem Sinne hielt auch bereits das mit der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w:t>
      </w:r>
    </w:p>
    <w:p>
      <w:r>
        <w:t>B-765/2014 Seite 12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3.3.2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3.2), erweist sich unter diesen Umständen nicht als erfor- derlich. Das Vorgehen der Vorinstanz muss deshalb als unverhältnismäs- sig bezeichnet werden. Es verletzt Art. 5 Abs. 2 BV. Die Beschwerde ist insofern begründet und die Dispositiv Ziffer 1 ist, soweit sie sich auf die Beschwerdeführerinnen bezieht, aufzuheben.</w:t>
      </w:r>
    </w:p>
    <w:p>
      <w:r>
        <w:t>B-765/2014 Seite 13</w:t>
      </w:r>
    </w:p>
    <w:p>
      <w:r>
        <w:rPr>
          <w:b/>
        </w:rPr>
        <w:t>E. 4</w:t>
      </w:r>
    </w:p>
    <w:p>
      <w:r>
        <w:t>Verfahrenskostenliquidation vor der Vorinstanz</w:t>
      </w:r>
    </w:p>
    <w:p>
      <w:r>
        <w:rPr>
          <w:b/>
        </w:rPr>
        <w:t>E. 4.1</w:t>
      </w:r>
    </w:p>
    <w:p>
      <w:r>
        <w:t>Nach Ansicht der Vorinstanz ist der Verursacher eines Verwaltungsver- 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 leinstellung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rPr>
          <w:b/>
        </w:rPr>
        <w:t>E. 4.2</w:t>
      </w:r>
    </w:p>
    <w:p>
      <w:r>
        <w:t>Nach Ansicht der Beschwerdeführerinnen liegt kein gebührenpflichti- ges Unterliegen vor, wenn sich bei Verfahrensbeteiligten anfängliche An- haltspunkte nicht erhärtet haben und darum das Verfahren eingestellt werde. Nicht geregelt sei das teilweise Unterliegen, wenn Anhaltspunkte nur teilweise begründet seien und das Verfahren im Übrigen eingestellt werde. Diesfalls seien zivilprozessuale Grundsätze analog anzuwenden, da die untersuchende Behörde sonst keinen Anreiz hätte, Verfahren effi- zient zu führen. Folglich seien die Untersuchungskosten antragsgemäss anteilig vom Staat zu tragen, soweit die Untersuchung zu Frachtraten und zur Gesamtabrede einzustellen sei (2[…],65).</w:t>
      </w:r>
    </w:p>
    <w:p>
      <w:r>
        <w:t>B-765/2014 Seite 14</w:t>
      </w:r>
    </w:p>
    <w:p>
      <w:r>
        <w:rPr>
          <w:b/>
        </w:rPr>
        <w:t>E. 4.3.1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 Im Grundsatz gilt das Verursacherprinzip. Danach ist nicht jede Person, welche ein Verfahren auslöst, kostenpflichtig. Das Verursacherprinzip ver- 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DIKE-Kommentar KG [nachfolgend: DIKE-KG], Zürich/St. Gallen 2018, Art. 53a Rz. 33; CHRISTOPH TAGMANN/BEAT ZIRLICK, in: Amstutz/Reinert [Hrsg.], BSK KG, 2. Aufl. 2021, Art. 53a Rz. 4 ff.). Das Verursacherprinzip wird durch das Unterliegerprinzip relativiert (vgl. Art. 3 Abs. 2 GebV-KG), indem nur diejenige Person gebührenpflichtig wird, die in einem von ihr verursach- ten Verfahren gegen die Wettbewerbsbehörden unterliegt. Massgebend für die Gebührenpflicht ist also das Ergebnis des verursachten beziehungs- weise veranlassten Verfahrens (BRUCH/JAAG, a.a.O., Art. 53a Rz. 34; TAG- MANN/ZIRLICK, a.a.O., Art. 53a Rz. 11).</w:t>
      </w:r>
    </w:p>
    <w:p>
      <w:r>
        <w:rPr>
          <w:b/>
        </w:rPr>
        <w:t>E. 4.3.2</w:t>
      </w:r>
    </w:p>
    <w:p>
      <w:r>
        <w:t>Die Beschwerdeführerinnen haben mit ihrer Selbstanzeige (inkl. zahl- reichen Ergänzungen) das Untersuchungsverfahren zwar ausgelöst und wären ohne Bonusregelung im Vergleich zu den anderen Luftfahrtunter- nehmen mit dem höchsten Sanktionsbetrag (Fr. 15'846'573.–) belegt wor- den.</w:t>
      </w:r>
    </w:p>
    <w:p>
      <w:r>
        <w:t>B-765/2014 Seite 15 Die Vorinstanz hat aber in ihrer bis dahin umfangreichsten, 412-seitigen Verfügung (mit 1828 Fussnoten) einen etwas überschiessend weiten, glo- balen "Allerweltssachverhalt" zusammengetragen, der teilweise nicht ent- scheidwesentlich war, weil er nicht sanktionierbare Zeiträume betraf oder die Vorinstanz für dessen Beurteilung von vornherein nicht zuständig war. Dies bestreitet zu Recht auch die Vorinstanz nicht (vgl. 3[…], 5[…]). Im Unterschied zu anders gelagerten Fällen (vgl. das BVGer Urteil B-807/2012 E. 13.1.2) erlaubt sich daher hier der Schluss, dass das Unter- 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rPr>
          <w:b/>
        </w:rPr>
        <w:t>E. 5</w:t>
      </w:r>
    </w:p>
    <w:p>
      <w:r>
        <w:t>Zusammenfassung</w:t>
      </w:r>
    </w:p>
    <w:p>
      <w:r>
        <w:rPr>
          <w:b/>
        </w:rPr>
        <w:t>E. 5.1</w:t>
      </w:r>
    </w:p>
    <w:p>
      <w:r>
        <w:t>Die Beschwerde erweist sich, soweit auf sie einzutreten ist, als begrün- det, weshalb sie, soweit sie die Anfechtung der Dispositiv Ziffern 1 und 4 betrifft, teilweise gutzuheissen ist.</w:t>
      </w:r>
    </w:p>
    <w:p>
      <w:r>
        <w:t>B-765/2014 Seite 16</w:t>
      </w:r>
    </w:p>
    <w:p>
      <w:r>
        <w:rPr>
          <w:b/>
        </w:rPr>
        <w:t>E. 5.2</w:t>
      </w:r>
    </w:p>
    <w:p>
      <w:r>
        <w:t>Die als "Verfahrensanträge" gestellten Begehren beziehen sich auf die ordnungsgemässe Führung dieses Verfahrens. Soweit damit die Wahrung von Geschäftsgeheimnissen sichergestellt werden soll, ist dies vom Bun- desverwaltungsgericht im Rahmen der Verfahrensführung zu berücksichti- gen. Das Bundesverwaltungsgericht hat Entscheide grundsätzlich in anonymi- sierter Form zu veröffentlichen (Art. 29 Abs. 2 VGG i.V.m. Art. 4 Abs. 2 und Art. 8 des Informationsreglements für das Bundesverwaltungsgericht vom 11. Dezember 2006, SR 173.320.4). Es wird die für die Wettbewerbsbehör- den nach Art. 25 Abs. 1 und 4 KG ex lege geltende Pflicht zur Wahrung von Geschäftsgeheimnissen sinngemäss ebenfalls zu befolgen haben.</w:t>
      </w:r>
    </w:p>
    <w:p>
      <w:r>
        <w:rPr>
          <w:b/>
        </w:rPr>
        <w:t>E. 6</w:t>
      </w:r>
    </w:p>
    <w:p>
      <w:r>
        <w:t>Nebenfolgen</w:t>
      </w:r>
    </w:p>
    <w:p>
      <w:r>
        <w:rPr>
          <w:b/>
        </w:rPr>
        <w:t>E. 6.1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obsiegen die Beschwerdeführerinnen teil- weise. Deshalb sind ihnen, soweit sie unterliegen, in ermässigtem Umfang (d.h. zu 1/2) Verfahrenskosten aufzuerlegen. Diese Kosten werden hier in Anbetracht aller relevanten Umstände und unter Berücksichtigung des Um- fangs und der Schwierigkeit der Streitsache ermessensweise auf Fr. [...] festgesetzt (Art. 63 Abs. 4bis VwVG sowie Art. 1, 2 und 4 des Reglements vom 21. Februar 2008 über die Kosten und Entschädigungen vor dem Bun- desverwaltungsgericht [VGKE, SR 173.320.2]) und sind dem geleisteten Kostenvorschuss von insgesamt Fr. […] zu entnehmen.</w:t>
      </w:r>
    </w:p>
    <w:p>
      <w:r>
        <w:rPr>
          <w:b/>
        </w:rPr>
        <w:t>E. 6.2</w:t>
      </w:r>
    </w:p>
    <w:p>
      <w:r>
        <w:t>Für die erwachsenen notwendigen und verhältnismässig hohen Kosten ihrer Rechtsvertretung ist den Beschwerdeführerinnen, da sie teilweise ob- siegen, eine um die Hälfte reduzierte Parteientschädigung zuzusprechen (Art. 64 Abs. 1 VwVG, Art. 7 Abs. 2 VGKE). Da die Beschwerdeführerinnen für ihre Rechtsvertretung keine Kostennote einreichen liessen, ist die Entschädigung auf Grund der Akten und nach freiem gerichtlichen Ermessen zu bestimmen (Art. 14 Abs. 2 VGKE). So-</w:t>
      </w:r>
    </w:p>
    <w:p>
      <w:r>
        <w:t>B-765/2014 Seite 17 weit eine Parteientschädigung nicht einer unterliegenden Gegenpartei auf- erlegt werden kann, wird sie der Körperschaft oder autonomen Anstalt auf- erlegt, in deren Namen die Vorinstanz verfügt hat (Art. 64 Abs. 2 VwVG). Die zu 1/2 reduzierte Parteientschädigung wird hier in Anbetracht aller re- levanten Umstände und unter Berücksichtigung des Umfangs und der Schwierigkeit der Streitsache ermessensweise auf Fr. 30'000.– festgelegt. Diese Parteientschädigung hat die Vorinstanz den Beschwerdeführerinnen nach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