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B-7508/2006 vom 18. Oktober 2007</w:t>
      </w:r>
    </w:p>
    <w:p>
      <w:r>
        <w:t>Bundesverwaltungsgericht, 2007-10-18, DE</w:t>
      </w:r>
    </w:p>
    <w:p>
      <w:r>
        <w:rPr>
          <w:b/>
        </w:rPr>
        <w:t xml:space="preserve">Quelle: </w:t>
      </w:r>
      <w:r>
        <w:t>https://mcp.opencaselaw.ch/entscheid/bvger_B-7508_2006</w:t>
      </w:r>
    </w:p>
    <w:p>
      <w:r>
        <w:t>FR: TAF B-7508/2006 du 18 octobre 2007</w:t>
      </w:r>
    </w:p>
    <w:p>
      <w:r>
        <w:t>IT: TAF B-7508/2006 del 18 ottobre 2007</w:t>
      </w:r>
    </w:p>
    <w:p>
      <w:pPr>
        <w:pStyle w:val="Heading2"/>
      </w:pPr>
      <w:r>
        <w:t>Regeste</w:t>
      </w:r>
    </w:p>
    <w:p>
      <w:r>
        <w:t>Widerspruchssachen</w:t>
      </w:r>
    </w:p>
    <w:p>
      <w:pPr>
        <w:pStyle w:val="Heading2"/>
      </w:pPr>
      <w:r>
        <w:t>Erwägungen</w:t>
      </w:r>
    </w:p>
    <w:p>
      <w:r>
        <w:rPr>
          <w:b/>
        </w:rPr>
        <w:t>E. 1</w:t>
      </w:r>
    </w:p>
    <w:p>
      <w:r>
        <w:t>Die Entscheide der Vorinstanz vom 9. August 2006 und 31. Januar 2007 stellen Verfügungen im Sinne des Bundesgesetzes vom 20. Dezember 1968 über das Verwaltungsverfahren dar (VwVG, SR 172.021; Art. 5 Abs. 1 Bst. a). Diese Verfügungen können im Rahmen der allgemeinen Bestimmungen der Bundesverwaltungsrechtspflege beim Bundesverwaltungsgericht angefochten werden (Art. 44 ff. VwVG i.V.m. Art. 31 ff. des Verwaltungsgerichtsgesetzes vom 17. Juni 2005 [VGG, SR 173.32]). Gemäss Art. 53 Abs. 2 VGG übernimmt das Bundesverwaltungsgericht bei Zuständigkeit die Beurteilung der beim Inkrafttreten des Verwaltungsgerichtsgesetzes am 1. Januar 2007 bei Eidgenössischen Rekurs- oder Schiedskommissionen oder bei Beschwerdediensten der Departemente hängigen Rechtsmittel, wobei die Beurteilung nach neuem Verfahrensrecht erfolgt.</w:t>
      </w:r>
    </w:p>
    <w:p>
      <w:r>
        <w:rPr>
          <w:b/>
        </w:rPr>
        <w:t>E. 2</w:t>
      </w:r>
    </w:p>
    <w:p>
      <w:r>
        <w:t>Die Beschwerdeführerinnen sind als Adressatinnen der angefochtenen Verfügungen durch diese beschwert und haben ein schutzwürdiges Interesse an ihrer Aufhebung oder Änderung. Sie sind daher zur Beschwerdeführung legitimiert (Art. 48 Abs. 1 VwVG). Eingabefristen und -form sind gewahrt (Art. 50 Abs. 1 und 52 Abs. 1 VwVG), die Kostenvorschüsse wurden fristgerecht bezahlt (Art. 63 Abs. 4 VwVG), und die übrigen Sachurteilsvoraussetzungen liegen vor (Art. 48 ff. VwVG). Auf die Verwaltungsbeschwerden ist daher einzutreten.</w:t>
      </w:r>
    </w:p>
    <w:p>
      <w:r>
        <w:rPr>
          <w:b/>
        </w:rPr>
        <w:t>E. 3</w:t>
      </w:r>
    </w:p>
    <w:p>
      <w:r>
        <w:t>Zwei der Beschwerden richten sich gegen den Widerspruchsentscheid vom 9. August 2006 und zwei gegen denjenigen vom 31. Januar 2007. Die beiden Anfechtungsobjekte sind sich sehr ähnlich, ist doch jeweils ein Widerspruch zwischen der Registrierung ICE und dem Zeichen ICE CREAM zu prüfen, wobei letzteres einmal als Wort- und einmal als Wort-/Bildmarke ausgestaltet ist. In der Folge haben die beiden Rechtsmittel einer jeweiligen Partei bezüglich Rechtsbegehren und Begründung die gleiche Stossrichtung und berühren die gleichen Rechtsfragen. Die Beschwerden sind daher aus Gründen der Prozessökonomie zusammenzulegen und in einem gemeinsamen Urteil zu erledigen (Gygi, Bundesverwaltungsrechtspflege, Bern 1983, 68). Den beschwerdeführenden Parteien erwächst aus diesem Vorgehen kein Nachteil.</w:t>
      </w:r>
    </w:p>
    <w:p>
      <w:r>
        <w:rPr>
          <w:b/>
        </w:rPr>
        <w:t>E. 4</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 Das Markenrecht entsteht mit der Eintragung im Register und steht demjenigen zu, der die Marke zuerst hinterlegt (Art. 5 f. MSchG). Es verleiht dem Inhaber das ausschliessliche Recht, die Marke zur Kennzeichnung der Waren oder Dienstleistungen, für die sie beansprucht wird, zu gebrauchen und darüber zu verfügen (Art. 13 Abs. 1 MSchG). Auch kann er gegen die Eintragung von Zeichen, die seiner älteren Marke ähnlich und für gleiche oder gleichartige Waren oder Dienstleistungen bestimmt sind, so dass sich daraus eine Verwechslungsgefahr ergibt, Widerspruch erheben (Art. 31 Abs. 1 i.V.m. Art. 3 Abs. 1 Bst. c MSchG). Der Widerspruch ist innerhalb von drei Monaten nach der Veröffentlichung der Eintragung beim Institut schriftlich mit Begründung einzureichen (Art. 31 Abs. 2 Satz 1 MSchG). Ist der Widerspruch begründet, so wird die Eintragung ganz oder teilweise widerrufen; andernfalls wird der Widerspruch abgewiesen (Art. 33 MSchG).</w:t>
      </w:r>
    </w:p>
    <w:p>
      <w:r>
        <w:rPr>
          <w:b/>
        </w:rPr>
        <w:t>E. 5</w:t>
      </w:r>
    </w:p>
    <w:p>
      <w:r>
        <w:t>Die Beschwerdeführerin 2 erhob in den Widerspruchsantworten form- und fristgerecht die Einrede des Nichtgebrauchs des Widerspruchszeichens. Ebenfalls nicht strittig ist, dass zu diesem Zeitpunkt die Karenzfrist für die Marke der Beschwerdeführerin 1 bereits abgelaufen war (vgl. Art. 12 Abs. 1 MSchG). Umstritten ist dagegen, ob das Zeichen im relevanten Zeitraum rechtsgenüglich gebraucht worden ist.</w:t>
      </w:r>
    </w:p>
    <w:p>
      <w:r>
        <w:rPr>
          <w:b/>
        </w:rPr>
        <w:t>E. 6</w:t>
      </w:r>
    </w:p>
    <w:p>
      <w:r>
        <w:t>Gemäss Art. 12 Abs. 1 MSchG kann der Markeninhaber sein Markenrecht nicht mehr geltend machen, wenn er die Marke im Zusammenhang mit Waren oder Dienstleistungen, für die sie beansprucht wird, während eines ununterbrochenen Zeitraums von fünf Jahren nach unbenütztem Ablauf der Widerspruchsfrist oder nach Abschluss des Widerspruchsverfahrens nicht gebraucht hat, ausser wenn wichtige Gründe für den Nichtgebrauch vorliegen. Art. 11 Abs. 2 MSchG hält fest, dass als Gebrauch der Marke auch der Gebrauch in einer der Eintragung nicht wesentlich abweichenden Form und der Gebrauch für die Ausfuhr gelten.</w:t>
      </w:r>
    </w:p>
    <w:p>
      <w:r>
        <w:rPr>
          <w:b/>
        </w:rPr>
        <w:t>E. 7</w:t>
      </w:r>
    </w:p>
    <w:p>
      <w:r>
        <w:t>Die Beschwerdeführerin 1 stützte ihren Widerspruch auf die internationale Registrierung IR 513'595 ICE. Um den rechtserhaltenden Gebrauch der Marke zu belegen, reichte sie Unterlagen im Umfang von mehreren hundert Seiten ein, wobei sich ein grosser Teil dieser Belege weder zeitlich noch geografisch einordnen lässt und für den Gebrauchsnachweis - wie die Vorinstanz eingehend und richtig befunden hat - somit ungeeignet ist. Aus den eingereichten Rechnungen ergibt sich, dass im relevanten Zeitraum der Factory-Outlet in Mendrisio sowie weitere Verkaufsgeschäfte in der Schweiz mit Waren der Beschwerdeführerin 1 beliefert wurden. Dagegen zeigen die meisten Produktfotographien die Verwendung eines vom Registereintrag abweichenden Markengebrauchs auf. So benutzte die Beschwerdeführerin 1 das Zeichen ICE insbesondere als Bestandteil in ihrer Marke ICEBERG. Dabei handelt es sich, wie die Vorinstanz zurecht festgestellt hat, um ein eigenständiges Zeichen, das einen anderen Gesamteindruck als die Widerspruchsmarke hinterlässt. Ansonsten gebrauchte die Beschwerdeführerin 1 die Marke ICE meist in Kombination mit dem Wort JEANS oder dem Buchstaben J bzw. dem Buchstaben B. Einzig bei einer Kollektion von Rucksäcken, Etuis, Portemonnaies, Gürteln sowie Schlüsselanhängern (Attachment E) und bei den in einem Katalog zur Frühlings- und Sommerkollektion 2000 abgebildeten Kleidungsartikeln (Attachment H) verwendete sie die Widerspruchsmarke teilweise in Alleinstellung. Die Lederutensilien lassen sich jedoch zeitlich nicht klassifizieren, wohingegen es unklar ist, ob Exemplare des Kataloges bzw. die darin aufgeführten Kleidungsstücke in der Schweiz vertrieben worden sind. Letzteres wird von der Beschwerdeführerin 1 resp. von der Verkaufsdirektorin des Geschäfts in Mendrisio behauptet. Demgegenüber vermitteln die in innerhalb des relevanten Zeitraums in der Schweiz vertriebenen Modemagazine bzw. Frauenzeitschriften publizierten Annoncen ein anderes Bild. Auf sämtlichen der zahlreichen, grossformatigen Hochglanzinserate verwendete die Beschwerdeführerin 1 ihre Marke ICEBERG entweder in grosser Schrift alleine oder in kleiner Schrift unterhalb des Zeichens ICEJEANS (Attachment C). Ausserdem erkennt man auf dem Gilet eines männlichen Models die Aufschrift ICEJ und auf der Jeansjacke eines weiblichen Pendants den Schriftzug ICEB (beides Attachment C II). Hingegen lassen sich die eingereichten Anzeigen für das Kindermodelabel ICE ICE ICEBERG entweder örtlich oder zeitlich nicht zuordnen (Attachment E II). Zusammenfassend kann demnach festgehalten werden, dass die Beschwerdeführerin 1 das Zeichen ICE in der Schweiz im rechtsrelevanten Zeitraum einzig in den Formen ICEJEANS, ICEJ und ICEB benutzt hat. Es ist daher zu prüfen, ob es sich dabei um den Gebrauch der Widerspruchsmarke in der Eintragung nicht wesentlich abweichenden Formen handelt.</w:t>
      </w:r>
    </w:p>
    <w:p>
      <w:r>
        <w:rPr>
          <w:b/>
        </w:rPr>
        <w:t>E. 8</w:t>
      </w:r>
    </w:p>
    <w:p>
      <w:r>
        <w:t>Als unwesentliche Änderungen der Form der Marke gelten das Weglassen nebensächlicher Bestandteile oder Modernisierungen der Schreibweise der Marke (RKGE in sic! 2004, 107 SEIKO RIVOLI / R RIVOLI (fig.)). Entscheidend ist, dass der kennzeichnungskräftige Kern der Marke, der das markenspezifische Gesamtbild prägt, seiner Identität nicht beraubt wird. Der kennzeichnende Charakter wird nur gewahrt, wenn der Verkehr das abweichend benutzte Zeichen auch bei Wahrnehmung der Unterschiede aus dem Gesamteindruck mit der eingetragenen Marke gleichsetzt. Zu fragen ist, ob der Verkehr Eintragung und Benutzungsform als ein und dasselbe Zeichen ansieht und den geänderten, zugefügten oder weggelassenen Bestandteilen keine eigene kennzeichnende Wirkung beimisst. Die Anforderungen an die Zeichenidentität im Kernbereich der Marke sind dabei wesentlich strenger als bei der Beurteilung der Verwechselbarkeit. (BGer in sic! 2004, 409 TRIPP TRAPP III mit Hinweis auf E. Marbach, SIWR III, Basel 1996, 176 f., L. David, Kommentar zum Markenschutzgesetz, 2. Aufl., Basel 1999, Art. 11 MSchG N 5 und 14 sowie C. Willi, Kommentar zum Markenschutzgesetz, Zürich 2002, Art. 11 MSchG N 51 ff.).</w:t>
      </w:r>
    </w:p>
    <w:p>
      <w:r>
        <w:rPr>
          <w:b/>
        </w:rPr>
        <w:t>E. 9</w:t>
      </w:r>
    </w:p>
    <w:p>
      <w:r>
        <w:t>Beim Widerspruchszeichen handelt es sich um die Wortmarke ICE. Der Schweizer Verkehrsteilnehmer erkennt in den drei Buchstaben entweder das englische Wort für Eis oder die Abkürzung für Intercity-Express. Die Beschwerdeführerin 1 gebrauchte das Zeichen im rechtsrelevanten Zeitraum in der Schweiz in den Formen ICEJEANS, ICEJ und ICEB. Sie trennte dabei die Zusätze von der Widerspruchsmarke nicht durch einen Leerschlag ab. Die Vorinstanz ging dagegen von der Benutzung der Zeichen ICE JEANS, ICE B und ICE J aus. Bei JEANS würde es sich lediglich um einen beschreibenden Zusatz handeln, wohingegen die Ergänzungen J und B ihrerseits bloss auf die verschiedenen Linien der Marke ICE verweisen würden, weshalb der kennzeichnungskräftige Kern der Marke trotz abweichender Benutzung gewahrt bleibe. Dieser Auffassung kann nicht gefolgt werden. Beschreibende Zusätze vermindern die Kennzeichnungskraft einer Marke grundsätzlich nicht (BGer in sic! 2004, 421 SOPINAE (fig.) / SOBRANIE). Dies gilt aber nur, wenn sie auch als solche erkannt werden. Vorliegend werden die Annexe weder durch ein Leerzeichen abgetrennt noch liegen Unterschiede hinsichtlich der Typographie oder der Farbgebung vor. Deshalb dürfte der durchschnittliche Schweizer Verkehrsteilnehmer in den Bezeichnungen ICEB und ICEJ eher Akronyme unbestimmten Inhaltes denn die Widerspruchsmarke erblicken. Auch das Zeichen ICEJEANS dürfte er höchstens auf den zweiten Blick in seinen beiden Bestandteilen wahrnehmen. Viel wahrscheinlicher ist, dass er im Wortgebilde eine Einheit im Sinne einer Neuschöpfung bzw. einer Fantasiebezeichnung erkennt. Im Übrigen zieht bereits die von drei auf acht Buchstaben erstreckte Wortlänge einen anderen Gesamteindruck nach sich, woran auch der Umstand, dass der Wortbestandteil ICE am Anfang steht, nichts ändert, verschmilzt dieser doch mit dem Zusatz. Da es sich bei ICE um ein kurzes, einsilbiges Zeichen handelt, vermögen bereits kleine Modifikationen dessen kennzeichnenden Charakter zu verändern. Es lässt sich demnach festhalten, dass die drei von der Beschwerdeführerin 1 im rechtsrelevanten Zeitraum in der Schweiz verwendeten Gebrauchsformen zu anderen Gesamtbildern und damit zu einem von der Registrierung wesentlich abweichenden Gebrauch führen.</w:t>
      </w:r>
    </w:p>
    <w:p>
      <w:r>
        <w:rPr>
          <w:b/>
        </w:rPr>
        <w:t>E. 10</w:t>
      </w:r>
    </w:p>
    <w:p>
      <w:r>
        <w:t>Steht fest, dass der behauptete Gebrauch der Widerspruchsmarke wesentlich von der Eintragung abweicht, vermögen die von der Beschwerdeführerin 1 eingereichten Gebrauchsbelege nicht weiterzuhelfen. Es erübrigt sich somit, auf die behauptete Verwechslungsgefahr zwischen dem Widerspruchszeichen und der angefochtenen Marke näher einzugehen. Auch kann eine Abklärung der angeblichen Warengleichartigkeit unterbleiben. Im Übrigen ist mit dem vollständigen Obsiegen der Beschwerdeführerin 2 das Eventualbegehren der Beschwerdeführerin 1 betreffend die Neuverlegung der erstinstanzlichen Kosten- und Entschädigungsfolgen hinfällig.</w:t>
      </w:r>
    </w:p>
    <w:p>
      <w:r>
        <w:rPr>
          <w:b/>
        </w:rPr>
        <w:t>E. 11</w:t>
      </w:r>
    </w:p>
    <w:p>
      <w:r>
        <w:t>Die Beschwerden der Beschwerdeführerin 2 erweisen sich demzufolge als begründet, weshalb sie gutzuheissen und Ziffern 1 und 2 der angefochtenen Verfügungen aufzuheben sind. Dagegen erweisen sich die Beschwerden der Beschwerdeführerin 1 als unbegründet, weshalb sie abzuweisen und Ziffern 3 bis 5 der angefochtenen Verfügungen zu bestätigen sind. Bei diesem Ausgang des Verfahrens hat die Beschwerdeführerin 1 die Verfahrenskosten zu tragen, diese werden mit ihren am 29. September 2006 und am 5. April 2007 geleisteten Kostenvorschüssen verrechnet, und es steht der Beschwerdeführerin 2 einen Anspruch auf Parteientschädigung zu (Art. 63 Abs. 1 VwVG und Art. 64 Abs. 1 VwVG).</w:t>
      </w:r>
    </w:p>
    <w:p>
      <w:r>
        <w:rPr>
          <w:b/>
        </w:rPr>
        <w:t>E. 12</w:t>
      </w:r>
    </w:p>
    <w:p>
      <w:r>
        <w:t>Die Gerichtsgebühren sind nach Umfang und Schwierigkeit der Streitsachen, Art der Prozessführung und finanzieller Lage der Parteien festzulegen (Art. 63 Abs. 4bis VwVG, Art. 2 des Reglements über die Kosten und Entschädigungen vor dem Bundesverwaltungsgericht vom 11. Dezember 2006 (VGKE, SR 173.320.2). In Beschwerdeverfahren vor dem Bundesverwaltungsgericht sind dafür Streitwerte zu veranschlagen (Art. 4 VGKE). In Widerspruchsverfahren bestehen diese Streitwerte vor allem im Schaden der Widersprechenden im Fall einer Markenverletzung durch die angefochtenen Marken. Es würde aber zu weit führen und könnte im Verhältnis zu den relativ geringen Kosten der erstinstanzlichen Verfahren abschreckend wirken, wenn dafür im Einzelfall stets konkrete Aufwandsnachweise verlangt würden. Mangels anderer streitwertrelevanter Angaben sind die Streitwerte darum nach Erfahrungswerten auf je Fr. 40'000.-- festzulegen (J. Zürcher, Der Streitwert im Immaterialgüter- und Wettbewerbsprozess, sic! 2002, 505; L. Meyer, Der Streitwert in Prozessen um Immaterialgüterrechte und Firmen, sic! 2001, 559 ff., L. David, in: Roland von Büren / Lucas David [Hrsg.], Schweizerisches Immaterialgüter- und Wettbewerbsrecht, Bd. I/2, Der Rechtsschutz im Immaterialgüterrecht, Basel 1998, 29 f.).</w:t>
      </w:r>
    </w:p>
    <w:p>
      <w:r>
        <w:rPr>
          <w:b/>
        </w:rPr>
        <w:t>E. 13</w:t>
      </w:r>
    </w:p>
    <w:p>
      <w:r>
        <w:t>Die Parteientschädigung für die obsiegende Beschwerdeführerin 2 ist aufgrund der eingereichten Kostennoten vom 13. September 2006 (Fr. 3'228.--), vom 22. Januar 2007 (Fr. 5'920.--), vom 5. März 2007 (Fr. 3'680.--), vom 18. Mai 2007 (Fr. 2'640.--) und vom 11. Juli 2007 (Fr.5'170.--) auf insgesamt Fr. 20'638.-- festzusetzen.</w:t>
      </w:r>
    </w:p>
    <w:p>
      <w:r>
        <w:rPr>
          <w:b/>
        </w:rPr>
        <w:t>E. 14</w:t>
      </w:r>
    </w:p>
    <w:p>
      <w:r>
        <w:t>Gegen dieses Urteil steht keine Beschwerde an das Bundesgericht zur Verfügung (Art. 73 des Bundesgerichtsgesetzes vom 17. Juni 2005 [BGG, SR 173.110]). Es ist deshalb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