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B-7468/2006 vom 6. September 2007</w:t>
      </w:r>
    </w:p>
    <w:p>
      <w:r>
        <w:t>Bundesverwaltungsgericht, 2007-09-06, FR</w:t>
      </w:r>
    </w:p>
    <w:p>
      <w:r>
        <w:rPr>
          <w:b/>
        </w:rPr>
        <w:t xml:space="preserve">Quelle: </w:t>
      </w:r>
      <w:r>
        <w:t>https://mcp.opencaselaw.ch/entscheid/bvger_B-7468_2006</w:t>
      </w:r>
    </w:p>
    <w:p>
      <w:r>
        <w:t>FR: TAF B-7468/2006 du 6 septembre 2007</w:t>
      </w:r>
    </w:p>
    <w:p>
      <w:r>
        <w:t>IT: TAF B-7468/2006 del 6 settembre 2007</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(ATF 132 I 140 consid. 1.1; Alfred Kölz / Isabelle Häner, Verwaltungsverfahren und Verwaltungsrechts-pflege des Bundes, 2ème éd., Zurich 1998, n° 410).</w:t>
      </w:r>
    </w:p>
    <w:p>
      <w:r>
        <w:rPr>
          <w:b/>
        </w:rPr>
        <w:t>E. 1.1</w:t>
      </w:r>
    </w:p>
    <w:p>
      <w:r>
        <w:t>A teneur de l'art. 53 al. 2 de la loi fédérale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art. 31 LTAF).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les art. 6 al. 1 lit.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En l'espèce, l'opposition portait sur l'enregistrement de la marque attaquée pour les classes 18 et 25. Dans la décision attaquée, l'Institut fédéral a conclu à la radiation de la marque attaquée, dès l'entrée en force de ladite décision, "dans la mesure de l'opposition, soit pour l'ensemble des produits des classes 18 et 25", décision que la recourante a ensuite déférée au Tribunal de céans en concluant à son annulation. Il ressort cependant du dossier que le 16 avril 2007, soit en cours de procédure devant le Tribunal de céans, l'intimée a produit une déclaration, signée par les deux parties, dans laquelle il est indiqué que T._______ retire son opposition à l'encontre de la marque attaquée pour la classe 25. Il appert dès lors que, suite au retrait partiel de l'opposition de l'intimée s'agissant de la classe 25, le recours est devenu sans objet pour cette classe et que l'objet du litige se limite en l'espèce uniquement à l'enregistrement de la marque attaquée pour les produits revendiqués en classe 18.</w:t>
      </w:r>
    </w:p>
    <w:p>
      <w:r>
        <w:rPr>
          <w:b/>
        </w:rPr>
        <w:t>E. 3</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al. 1 et 2 de la loi fédérale du 28 août 1992 sur la protection des marques et des indications de provenance [Loi sur la protection des marques, LPM, RS 232.11]). A teneur de l'art. 3 al. 1 let. c LPM, sont exclus de la protection comme marque les signes similaires à une marque antérieure et destinés à des produits identiques ou similaires lorsqu'il en résulte un risque de confusion. In casu, il n'est pas contesté que la marque internationale n° 838'901 "Seven" (fig.), enregistrée le 30 avril 2004 et disposant d'une priorité au 30 octobre 2003 selon la Convention de l'Union de Paris pour la protection de la propriété industrielle, révisée à Stockholm le 14 juillet 1967 (CUP, RS 0.232.04), est antérieure à la marque suisse n° 532'976 "SEVEN FOR ALL MANKIND" déposée le 11 février 2005.</w:t>
      </w:r>
    </w:p>
    <w:p>
      <w:r>
        <w:rPr>
          <w:b/>
        </w:rPr>
        <w:t>E. 4</w:t>
      </w:r>
    </w:p>
    <w:p>
      <w:r>
        <w:t>S'agissant de la comparaison des produits et des services, l'Institut fédéral a relevé que, au regard des libellés respectifs des marques, force était de constater que la formulation des listes était sensiblement la même, que le même type de produits était revendiqué et que le libellé était souvent identique. Il a ainsi conclu à la grande similarité des produits, voire même à l'identité pour la majeure partie de ceux-ci. La recourante soutient qu'il n'y a pas lieu d'examiner la similarité des produits du fait que la similitude des signes n'est, selon elle, pas réalisée et que les différences entre les marques suffisent à exclure tout risque de confusion. Pour juger du risque de confusion, est non seulement déterminante la similitude des signes, mais encore la similitude des produits. Il existe une interaction entre ces deux éléments, dans la mesure où la différence entre les signes doit être d'autant plus grande que les produits sont similaires, et vice versa (ATF 122 III 382 Kamillosan). Il y a similarité des produits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par des entreprises liées entre elles (Lucas David, Kommentar zum schweizerischen Privatrecht, Markenschutzgesetz, Muster- und Modellgesetz, 2ème éd., Bâle 1999, MSchG, n° 8 et 35 ad art. 3). L'appartenance des produits revendiqués à la même classe internationale selon l'accord de Nice n'est pas nécessaire pour affirmer une similarité, mais constitue tout de même un indice pour une telle conclusion (décision de la CREPI du 5 octobre 2000 in sic! 2000 800 consid. 5 Naturella/Naturessa). Les mêmes lieux de production, le même savoir-faire spécifique, des voies de distribution semblables, un cercle de consommateurs ou un champ d'application semblables sont des indices pour des produits similaires (décision de la CREPI du 24 avril 2006 in sic! 2006 475 consid. 6 X/X-Pressure). Lorsque la similarité des produits peut être exclue, il n'est plus nécessaire d'examiner la similarité entre les signes et un risque de confusion est dans ce cas à priori exclu (décision de la CREPI du 17 juin 2005 in sic! 2006 86 consid. 2 Proteos/Protos). En l'espèce, il convient de constater que les produits revendiqués par les marques en question en classe 18 sont, si ce n'est identiques pour la majeure partie de ceux-ci, pour le moins très similaires, comme l'a à juste titre considéré l'Institut fédéral. En effet, ces produits exigent un même savoir-faire pour leur confection et ont des réseaux de distribution pratiquement identiques. Il s'agit donc d'exiger une dissemblance suffisamment nette entre les deux marques en question pour pouvoir exclure un risque de confusion entre celles-ci.</w:t>
      </w:r>
    </w:p>
    <w:p>
      <w:r>
        <w:rPr>
          <w:b/>
        </w:rPr>
        <w:t>E. 5</w:t>
      </w:r>
    </w:p>
    <w:p>
      <w:r>
        <w:t>L'appréciation de l'étendue de la protection de la marque antérieure est indispensable pour estimer le risque de confusion (décision de la CREPI du 3 mars 1999 in sic! 1999 275 consid. 3 Natural White/Natural White TP). Le périmètre de protection d'une marque dépend de sa force distinctive. Le périmètre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w:t>
      </w:r>
    </w:p>
    <w:p>
      <w:r>
        <w:rPr>
          <w:b/>
        </w:rPr>
        <w:t>E. 5.1</w:t>
      </w:r>
    </w:p>
    <w:p>
      <w:r>
        <w:t>L'Institut fédéral a considéré que le terme "Seven" disposait d'une pleine force distinctive et bénéficiait d'un champ de protection normal in casu, dans la mesure où il avait un caractère indéterminé en rapport avec les produits revendiqués par la marque opposante et qu'il n'évoquait pas, pour le consommateur, un aspect descriptif des produits en cause. Les signes appartenant au domaine public se caractérisent par le fait qu'ils sont à priori dépourvus de caractère distinctif ou sont assujettis au besoin de disponibilité. Font notamment partie du domaine public les signes banals ou communs, soit les chiffres ou lettres isolés et les signes libres ou dégénérés, soit ceux qui, distinctifs lors de leur création, sont devenus des désignations génériques en raison d'un usage généralisé (ATF 131 III 121 consid. 4.1 Smarties; Kamen Troller, Précis du droit suisse des biens immatériels, 2ème éd., Bâle 2006, p. 102). En l'espèce, la marque opposante est formée de l'adjectif numéral cardinal anglais "Seven", signifiant "sept" en français. Le fait qu'un signe soit composé d'éléments tirés d'une langue ne comptant pas au nombre des langues officielles ou nationales suisses n'exclut pas qu'il soit considéré comme ressortant du domaine public (ATF 120 II 144 consid. 3b/aa Yeni Raki). Dans la mesure où les consommateurs suisses possèdent au moins le vocabulaire de base anglais (décision de la CREPI du 23 décembre 2004 in sic! 2005 467 consid. 4 Boysworld), il convient d'admettre que ces derniers comprendront aisément la signification de ce terme. La CREPI a déjà examiné à plusieurs reprises la question de l'aire de protection des adjectifs numéraux cardinaux, et en particulier de "Seven". Il ressort de sa jurisprudence, dont le Tribunal de céans n'entend pas s'écarter, qu'un tel mot peut être enregistré comme marque, pour autant qu'il ne soit pas descriptif pour les produits en cause, et que celui-ci bénéficie d'un champ de protection normal (décision de la CREPI du 13 avril 2005 in sic! 2005 578 consid. 4 Zero/Zerorh+). S'agissant plus particulièrement des décisions relatives à la marque "Seven" (fig.) pour des produits de la classe 18, la CREPI a à chaque fois considéré que ce terme bénéficiait d'un champ de protection normal dans la mesure où il ne se référait pas de manière descriptive aux produits revendiqués (décisions de la CREPI du 29 août 2006 in sic! 2007 35 consid. 6 non publié Seven/SevenOne Intermedia, du 22 janvier 2003 in sic! 2003 904 consid. 5 et 6 7Seven/Seven Pictures et décision non publiée du 22 janvier 2003 MA-WI 13/02 consid. 5 et 6 7Seven et Seven/Go Seven). A la lumière de la jurisprudence exposée ci-dessus, force est de constater que le terme "Seven" n'a en l'espèce pas de sens ou de connotation déterminée en relation avec les produits revendiqués, qu'il ne renvoie nullement à une de leurs particularités et qu'il ne revêt de ce fait aucun caractère descriptif. Ainsi, la marque opposante bénéficie d'un champ de protection normal comme l'a à juste titre considéré l'Institut fédéral.</w:t>
      </w:r>
    </w:p>
    <w:p>
      <w:r>
        <w:rPr>
          <w:b/>
        </w:rPr>
        <w:t>E. 5.2</w:t>
      </w:r>
    </w:p>
    <w:p>
      <w:r>
        <w:t>La recourante fait valoir qu'il aurait fallu nuancer, dans le cas d'espèce, le principe selon lequel les adjectifs numéraux cardinaux enregistrés comme marques bénéficient d'un champ de protection normal, en invoquant d'une part le nombre restreint des chiffres de base et leur usage répandu dans le commerce et d'autre part la grande popularité du terme anglais "Seven" et de son équivalent en chiffre, choisis par de nombreux opérateurs économiques pour des produits de la classe 18. Elle se réfère sur ce point à une recherche de marques qui révélerait une multitude de marques en vigueur pour des produits en classe 18 constitués de l'élément "Seven" et/ou du chiffre "7" pouvant se lire "seven" lorsque les autres éléments contenus dans la marque sont écrits en anglais. La recourante en conclut que la marque opposante ne saurait constituer une marque bénéficiant d'un champ de protection normal, celui-ci s'étant affaibli consécutivement à la reprise fréquente du terme "Seven" pour des produits identiques ou similaires. Selon elle, les décisions rendues précédemment par l'Institut fédéral et la CREPI relatives à la marque "Seven" (fig.) ne peuvent simplement être transposées au cas présent car elles n'ont pas tenu compte de l'affaiblissement de la force distinctive du terme "Seven". La recourante considère ainsi que l'étendue de la protection de la marque opposante doit dès lors être réévaluée et limitée. Les marques dont la force distinctive s'est affaiblie suite à un usage fréquent pour des produits identiques ou similaires sont des marques faibles avec une aire de protection restreinte (décision de la CREPI du 4 novembre 2003 in sic! 2004 237 consid. 3 Redd et Red lights/Red; David, op. cit., n° 13 ad art. 3). La dilution de la force distinctive ne peut être admise que si le public est habitué à l'usage fréquent de signes similaires pour des produits identiques ou semblables, de sorte que seules les marques effectivement utilisées peuvent causer une dilution. Ainsi, la coexistence de marques dans le registre ne reflète pas nécessairement la situation réelle, dans la mesure où il n'est pas certain que ces marques soient utilisées en Suisse (décision de la CREPI du 9 février 2005 in sic! 2005 571 consid. 5 CJ Cavalli Jeans/Rocco Cavalli). Le document sur lequel se fonde en l'espèce la recourante consiste en une recherche de marques "ip search" du 9 septembre 2005, effectuée sur sa demande par l'Institut fédéral (annexe IV au recours). Ce rapport de recherche comprend une première partie portant sur la présence du chiffre "7" et une seconde partie relative à la présence du terme "Seven" et s'étend aux enregistrements suisses et internationaux avec ou sans extension de la protection à la Suisse. De prime abord, il convient de restreindre les marques à prendre en considération uniquement aux enregistrements suisses et internationaux avec extension de la protection à la Suisse, du fait que la marque doit être utilisée en Suisse. La première partie du rapport fait état de 66 marques et la seconde partie de 76 marques, soit un total de 142 résultats. L'examen de ces enregistrements fait toutefois apparaître que certains d'entre eux se retrouvent à l'identique dans les deux parties, de sorte que, déduction faite desdites marques, le nombre de marques à prendre en compte s'élève à 102. Il apparaît ensuite que sur ces 102 enregistrements, 62 marques ne sont pas pertinentes. En effet, 46 marques contiennent non pas le terme "Seven" mais son équivalent en chiffre (décision de la CREPI du 13 avril 2005 in sic! 2005 578 consid. 4 Zero/Zerorh+), et 16 enregistrements représentent soit un adjectif numéral cardinal différent ("Seventy", "Sixtyseven"), soit des marques différentes ("Sept", "Seden", "Serene", "Sevel"). Sur les 40 enregistrements restants, il convient encore de faire abstraction de 5 marques qui ne bénéficient d'aucune protection en Suisse pour la classe 18, de 4 enregistrements qui n'existent pas (voir décision de la CREPI du 29 août 2006 MA-WI 26/05 in sic! 2007 35 consid. 6 non publié Seven/SevenOne Intermedia), de 7 marques appartenant à l'intimée ou à une société lui étant liée (voir décision de la CREPI du 29 août 2006 MA-WI 26/05 in sic! 2007 35 consid. 6 non publié Seven/SevenOne Intermedia) et de la marque de la recourante dont il est ici question. Il appert ainsi que ce n'est plus que 23 marques inscrites au registre suisse ou international contenant le terme "Seven" qui peuvent entrer en ligne de compte. Cependant, il convient de relever que l'on ne peut conclure à un affaiblissement ou à une dilution d'une marque uniquement sur la base de la situation au registre, étant donné en principe que, d'une part, seules les marques véritablement utilisées sur le marché sont connues des consommateurs et que, d'autre part, selon l'expérience, les marques enregistrées ne sont pas toutes utilisées (décision de la CREPI du 23 juin 1999 in sic! 1999 648 consid. 6 Wave Rave/The Wave). En l'espèce, la recourante n'apporte aucune indication relative à l'utilisation réelle de ces marques en Suisse et on ne peut donc conclure que la marque "Seven" serait une dénomination affaiblie (décision de la CREPI du 13 avril 2005 in sic! 2005 578 consid. 4 Zero/Zerorh+). Il apparaît dès lors que l'étendue du champ de protection de la marque opposante n'a pas à être réévaluée ou limitée. Partant, le grief de la recourante se révèle infondé et doit en conséquence être rejeté. S'agissant au surplus de l'argument formulé par l'intimée dans sa réponse selon lequel la marque opposante serait forte du fait qu'elle n'est pas descriptive pour les produits en question, force est de reconnaître que ceci ne saurait suffire à conférer un champ de protection élargi à la marque "Seven" (fig.), dans la mesure où l'intimée ne soutient ni n'étaye par d'autres pièces que sa marque serait utilisée intensivement (décision de la CREPI du 29 août 2006 in sic! 2007 35 consid. 6 non publié Seven/SevenOne Intermedia).</w:t>
      </w:r>
    </w:p>
    <w:p>
      <w:r>
        <w:rPr>
          <w:b/>
        </w:rPr>
        <w:t>E. 6</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Pour le risque de confusion, c'est l'impression générale qui prédomine car c'est elle qui reste dans l'esprit des personnes concernées (ATF 128 III 441 consid. 3.1 Appenzeller) et la différence entre deux signes devra être d'autant plus importante que les produits sont similaires et vice versa (ATF 122 III 382 consid. 3a Kamillosan; David, op. cit., n° 8 ad art. 3).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(ATF 121 III 377 consid. 2a Boss/Boks). Pour déterminer si deux marques se ressemblent au sens de l'art. 3 al. 1 let. c LPM, il y a lieu de prendre en compte plusieurs critères généraux et objectifs, comme par exemple l'effet auditif, l'image graphique ou encore le contenu sémantique (décision de la CREPI du 7 juin 2000 in sic! 2001 133 consid. 3 Otor/Artor; Troller, op. cit., p. 84). En l'espèce, il a été établi plus haut (consid. 4) qu'il y a grande similarité, voire identité entre les produits revendiqués par les marques en présence. Dans ces circonstances, la distinction qu'il s'agit d'exiger entre ces signes sera d'autant plus importante afin d'exclure tout risque de confusion.</w:t>
      </w:r>
    </w:p>
    <w:p>
      <w:r>
        <w:rPr>
          <w:b/>
        </w:rPr>
        <w:t>E. 6.1</w:t>
      </w:r>
    </w:p>
    <w:p>
      <w:r>
        <w:t>La marque attaquée "SEVEN FOR ALL MANKIND" est une pure marque verbale, tandis que la marque opposante "Seven" (fig.) constitue une marque combinée d'un élément verbal et figuratif. L'impression générale des marques verbales est donnée par la suite des syllabes, la longueur du mot, sa sonorité et sa typographie. S'agissant des marques combinées d'éléments verbaux et figuratifs, l'impression d'ensemble est largement marquée par les éléments verbaux lorsque les éléments graphiques ne sont pas particulièrement originaux et que ceux-ci ne sont pas en mesure de conférer à la marque une image facile à retenir (décision de la CREPI du 1er avril 2003 in sic! 2003 709 consid. 5.1 à 5.3 Targa). La sonorité découle en particulier du nombre de syllabes ainsi que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122 III 382 consid. 5a Kamillosan). La recourante relève que la marque attaquée comporte quatre mots totalisant 18 lettres et six syllabes, tandis que la marque opposante ne compte qu'un mot de cinq lettres et deux syllabes. Elle relève en outre que l'impression graphique est clairement différente eu égard à la représentation stylisée de la marque opposante. Visuellement, la marque opposante est composée du terme "Seven" représenté dans une écriture manuscrite au trait noir et épais, avec une lettre initiale "S" en majuscule et le reste du mot en lettres minuscules. Le signe apparaît de manière oblique, incliné de gauche à droite vers le haut et est souligné d'un trait oblique, débutant de manière fine de la lettre finale "n" et s'épaississant au fur et à mesure. La marque attaquée reprend quant à elle à l'identique le terme "Seven" en son début. Sur ce point, il sied ici de rappeler que la reprise intégrale d'une marque prioritaire provoque en règle générale sans autre un risque de confusion (décision de la CREPI du 12 avril 2006 in sic! 2006 413 consid. 6 Les Cabinotiers). En l'espèce, les marques se différencient certes de par la représentation stylisée de la marque opposante. Toutefois, il y a lieu de considérer que ce graphisme, qui du reste ne contient aucune couleur, n'est que peu imprégnant du point de vue visuel et ne se révèle dès lors pas décisif pour la question de la similarité. D'autre part, il est vrai que la longueur des marques en litige diverge de manière certaine, mais il convient néanmoins d'admettre que, lors de la lecture de la marque, c'est bien plus l'élément "SEVEN" qui retiendra l'attention du consommateur que l'adjonction "FOR ALL MANKIND", la première partie de la marque ayant en général une importance particulière (décision de la CREPI du 16 janvier 2003 in sic! 2003 345 consid. 6 Mobilat; David, op. cit., n° 20 ad art. 3). Ainsi, une certaine similitude visuelle entre les marques en question doit être admise. Phonétiquement, la marque opposante est composée de deux syllabes, tandis que la marque attaquée en dénombre six, ce qui entraîne une cadence, un rythme et une intonation différents entre les signes. Nonobstant ces différences auditives, il y a lieu de considérer que, là encore, c'est le mot "SEVEN" qui reste ancré dans la mémoire des consommateurs. Partant, la présence de l'expression "FOR ALL MANKIND" ne suffit pas à supprimer la grande similitude auditive ressortant des signes en question due à la reprise de l'élément "SEVEN" au début de la marque attaquée.</w:t>
      </w:r>
    </w:p>
    <w:p>
      <w:r>
        <w:rPr>
          <w:b/>
        </w:rPr>
        <w:t>E. 6.2</w:t>
      </w:r>
    </w:p>
    <w:p>
      <w:r>
        <w:t>Dès lors que le destinataire moyen d'une marque pense involontairement à ce qu'il entend et à ce qu'il lit, la signification d'une marque empruntée au langage courant peut également être déterminante.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des acheteurs se laisse tromper par un son ou une image graphique analogue s'atténue (ATF 121 III 377 consid. 2b Boss/Boks). La signification d'une marque doit avoir un caractère dominant pour être en mesure d'effacer la similitude dans l'impression visuelle et sonore (décision de la CREPI du 16 janvier 2003 in sic! 2003 345 consid. 7 Mobilat/Mobigel).</w:t>
      </w:r>
    </w:p>
    <w:p>
      <w:r>
        <w:rPr>
          <w:b/>
        </w:rPr>
        <w:t>E. 6.2.1</w:t>
      </w:r>
    </w:p>
    <w:p>
      <w:r>
        <w:t>La recourante soutient que l'Institut fédéral a conclu à la similitude des signes sur la base de la concordance du mot "SEVEN" en s'appuyant essentiellement sur les décisions rendues précédemment par la CREPI sans prendre en considération la pleine force distinctive de l'expression "FOR ALL MANKIND", propre à influencer l'impression d'ensemble de la marque attaquée. Elle allègue que cet attribut, enregistré comme marque suisse n° 535'108, ne revêt aucune signification particulière avec les produits revendiqués, de sorte qu'il n'est pas secondaire ou décoratif, voire dépourvu de force distinctive, mais qu'il possède au contraire un sens propre dominant et distinct restant fortement gravé dans la mémoire du consommateur de par le message frappant qu'il véhicule. Selon la recourante, cette adjonction influence et modifie l'impression d'ensemble de la marque attaquée de manière si importante que les consommateurs ne reconnaissent plus la marque opposante et que ceux-ci comprendront facilement la marque attaquée comme formant un tout homogène et indivisible dans lequel se fond l'élément "SEVEN", en raison du fait que le sens dégagé par cette marque est clairement conditionné par l'expression "FOR ALL MANKIND", bien plus frappante que le terme "SEVEN". Sur ce point, elle relève que les décisions précédemment rendues dans des affaires semblables relatives à la marque "Seven" (fig.) ne trouvent in casu pas application, au vu du caractère distinctif de l'expression "FOR ALL MANKIND" qui trancherait, selon elle, avec les ajouts faiblement distinctifs des cas précédents tels que "RED", "HILL", "GO", "LONDON", "PICTURES" ou "INTERMEDIA". La recourante conclut ainsi que les marques se différencient suffisamment pour que la concordance de l'élément "SEVEN" ne soit pas de nature à fonder un risque de confusion. Elle relève que le degré de probabilité qu'un risque de confusion direct ou indirect soit réalisé n'est nullement vraisemblable, étant donné que les signes présentent de telles différences significatives que le public sera à même de les distinguer. L'individualité de la marque attaquée permet selon elle de ne pas percevoir celle-ci comme une variante de la marque de base ou une marque de série du même titulaire et partant, fait échec au risque de confusion indirect. La recourante souligne enfin que la marque n° 535'108 "FOR ALL MANKIND" contribue à établir une famille de marques regroupées autour de la même expression de la recourante, ceci militant également en faveur de l'absence d'un risque de confusion.</w:t>
      </w:r>
    </w:p>
    <w:p>
      <w:r>
        <w:rPr>
          <w:b/>
        </w:rPr>
        <w:t>E. 6.2.2</w:t>
      </w:r>
    </w:p>
    <w:p>
      <w:r>
        <w:t>En l'espèce, l'examen des signes en cause fait apparaître que la marque attaquée reprend intégralement la marque opposante et ne s'en différencie que par l'adjonction de l'expression "FOR ALL MANKIND". Le fait de combiner la marque antérieure d'un tiers avec un nouvel élément pour former sa propre marque n'est pas admissible, à moins que cette nouvelle combinaison puisse créer une impression d'ensemble avec une signification bien distincte de la marque antérieure (décisions de la CREPI du 13 avril 2005 in sic! 2005 578 consid. 5 Zero/Zerorh+ et du 9 février 2005 in sic! 2005 571 consid. 6 CJ Cavalli Jeans/Rocco Cavalli). Un risque de confusion ou une similitude entre les signes doit être exclue lorsque l'adjonction d'un élément modifie l'impression d'ensemble de la marque la plus récente de manière telle que les consommateurs ne reconnaissent plus la marque antérieure en tant que telle (décision de la CREPI du 28 décembre 2000 in sic! 2001 135 consid. 5 Kraft/NaturKraftWerke). Les marques "Seven" (fig.) et "SEVEN FOR ALL MANKIND" sont toutes deux composées de termes anglophones. Les consommateurs suisses possédant au moins le vocabulaire de base anglais (décision de la CREPI du 23 décembre 2004 in sic! 2005 467 consid. 4 Boysworld), on peut raisonnablement admettre que ces derniers appréhenderont sans grande difficulté l'adjectif numéral cardinal "SEVEN" comme signifiant "sept", mais qu'ils n'aborderont néanmoins l'adjonction "FOR ALL MANKIND" que comme un complément ou une précision du terme "SEVEN" qui reste sans conteste l'élément prépondérant de la marque attaquée et qui lui confère son impression d'ensemble. Quant aux consommateurs familiers de la langue anglaise, on peut admettre qu'ils comprendront l'ajout "FOR ALL MANKIND" comme signifiant "pour toute l'humanité" et qu'ils appréhenderont dès lors la marque attaquée littéralement comme "Seven pour toute l'humanité". Ainsi, s'il est vrai que la marque attaquée ne revêt, pour ces consommateurs-ci, aucune signification propre en relation avec les produits revendiqués, il convient néanmoins de relever que l'adjonction "FOR ALL MANKIND" apparaît comme une allusion au cercle des destinataires de ces produits de grande consommation en suscitant l'idée que cette marque est destinée à tout un chacun. Dès lors, il convient de constater que cette adjonction n'est pas suffisamment emprunte de force distinctive pour rester fortement ancrée dans l'esprit du public, que ce dernier en comprenne ou non le sens, et occulter la première partie de la marque constituée par le terme "SEVEN". Partant, le sens de la marque attaquée ne se démarque pas à un point tel de la marque opposante qu'il effacerait la similitude phonétique et visuelle ressortant de la comparaison des signes, due à la présence de l'élément distinctif "SEVEN", et qu'il suffirait à conférer à la marque attaquée une impression d'ensemble différente de la marque opposante qui serait propre à éviter un risque de confusion avec cette dernière. Au demeurant, la reprise à l'identique du terme "SEVEN" dans la marque attaquée peut donner l'impression au consommateur qu'il existe un rapport quel qu'il soit s'agissant de la détention des deux marques et créer ainsi un risque de confusion indirect (décision de la CREPI du 7 mai 2002 in sic! 2002 520 consid. 7 Visa/Jet-Set Visa). La recourante ne saurait enfin rien déduire en sa faveur du fait que l'expression "FOR ALL MANKIND" ait été enregistrée comme marque et que celle-ci contribuerait à établir une famille de marques, étant donné que la procédure d'opposition se limite à la comparaison des enregistrements litigieux (décision de la CREPI du 22 juin 2006 in sic! 2006 756 consid. 3 Aviagen/Aviogen).</w:t>
      </w:r>
    </w:p>
    <w:p>
      <w:r>
        <w:rPr>
          <w:b/>
        </w:rPr>
        <w:t>E. 7</w:t>
      </w:r>
    </w:p>
    <w:p>
      <w:r>
        <w:t>Par courriers du 29 novembre 2005 et du 5 décembre 2005, la recourante a produit devant l'Institut fédéral plusieurs décisions émanant d'une part de la division d'opposition et de la quatrième chambre de recours de l'OHMI et d'autre part de la troisième chambre du Tribunal de grande instance de Paris, qui ont toutes rejeté, faute de risque de confusion, des oppositions formées par T._______ contre les marques "7 FOR ALL MANKIND", "SevenOne Media" et "SevenPictures". Selon la formule du Tribunal fédéral, une décision viole le principe de l'égalité de traitement au sens de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consid. 4.2). En l'espèce, il convient de rappeler que le fait qu'une opposition ait été rejetée à l'étranger ne permet pas d'influencer les considérations du Tribunal de céans (décision de la CREPI du 13 avril 2005 in sic! 2005 578 consid. 7 non publié Zero/Zerorh+), ce que la division d'opposition et la chambre de recours de l'OHMI indiquent d'ailleurs elles-mêmes dans leurs décisions du 28 octobre 2004 B 500 993 (seven/SevenOne Media) et du 8 juillet 2004 R 994/2002-4 (7Seven/SevenPictures) en relevant qu'elles ne sont pas liées par les décisions des offices nationaux, répondant ainsi à l'opposante qui s'appuyait sur des décisions de l'Institut fédéral.</w:t>
      </w:r>
    </w:p>
    <w:p>
      <w:r>
        <w:rPr>
          <w:b/>
        </w:rPr>
        <w:t>E. 8</w:t>
      </w:r>
    </w:p>
    <w:p>
      <w:r>
        <w:t>Au regard de ce qui a été exposé ci-dessus, compte tenu de la similarité, voire de l'identité des produits revendiqués par les signes en question, de la similarité visuelle, auditive et sémantique des marques en présence due à l'élément "SEVEN" et du fort risque de confusion direct et indirect qui en résulte, et, finalement de l'impression d'ensemble, la marque attaquée "SEVEN FOR ALL MANKIND" doit être refusée à l'enregistrement.</w:t>
      </w:r>
    </w:p>
    <w:p>
      <w:r>
        <w:rPr>
          <w:b/>
        </w:rPr>
        <w:t>E. 9</w:t>
      </w:r>
    </w:p>
    <w:p>
      <w:r>
        <w:t>Il résulte de ce qui précède que la décision attaquée ne viole pas le droit fédéral, qu'elle ne repose pas sur une constatation inexacte ou incomplète des faits et qu'elle n'est pas inopportune. Partant, le recours doit être rejeté dans la mesure où il concerne la classe 18 et la décision de l'Institut fédéral confirmée dans la même mesure.</w:t>
      </w:r>
    </w:p>
    <w:p>
      <w:r>
        <w:rPr>
          <w:b/>
        </w:rPr>
        <w:t>E. 10</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4'000.-- (voir arrêt du Tribunal administratif fédéral B 7438/2006 du 10 mai 2007 consid. 10 Cellini/Elini). Ces frais n'étant pas couverts par l'avance de frais de Fr. 3'500.-- versée par la recourante le 25 janvier 2007, celle-ci doit s'acquitter du solde. L'intimée, qui obtient gain de cause et qui est représentée par un avocat, a droit à des dépens (art. 64 al. 1 PA en relation avec l'art. 7 al. 1 FITAF). En l'espèce, l'intimée n'ayant pas présenté de note de frais, une indemnité de Fr. 2'000.-- (TVA comprise) lui est allouée à titre de dépens et mise à la charge de la recourante.</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