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B-7466/2006 vom 4. Juli 2007</w:t>
      </w:r>
    </w:p>
    <w:p>
      <w:r>
        <w:t>Bundesverwaltungsgericht, 2007-07-04, DE</w:t>
      </w:r>
    </w:p>
    <w:p>
      <w:r>
        <w:rPr>
          <w:b/>
        </w:rPr>
        <w:t xml:space="preserve">Quelle: </w:t>
      </w:r>
      <w:r>
        <w:t>https://mcp.opencaselaw.ch/entscheid/bvger_B-7466_2006</w:t>
      </w:r>
    </w:p>
    <w:p>
      <w:r>
        <w:t>FR: TAF B-7466/2006 du 4 juillet 2007</w:t>
      </w:r>
    </w:p>
    <w:p>
      <w:r>
        <w:t>IT: TAF B-7466/2006 del 4 luglio 2007</w:t>
      </w:r>
    </w:p>
    <w:p>
      <w:pPr>
        <w:pStyle w:val="Heading2"/>
      </w:pPr>
      <w:r>
        <w:t>Regeste</w:t>
      </w:r>
    </w:p>
    <w:p>
      <w:r>
        <w:t>Widerspruchssachen</w:t>
      </w:r>
    </w:p>
    <w:p>
      <w:pPr>
        <w:pStyle w:val="Heading2"/>
      </w:pPr>
      <w:r>
        <w:t>Erwägungen</w:t>
      </w:r>
    </w:p>
    <w:p>
      <w:r>
        <w:rPr>
          <w:b/>
        </w:rPr>
        <w:t>E. 1</w:t>
      </w:r>
    </w:p>
    <w:p>
      <w:r>
        <w:t>Der Entscheid der Vorinstanz vom 26. Oktober 2006 stellt eine Verfügung im Sinne des Bundesgesetzes vom 20. Dezember 1968 über das Verwaltungsverfahren dar (VwVG, SR 172.021; Art. 5 Abs. 1 Bst. a). Diese Verfügung kann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Die Beschwerdeführerin ist als Adressatin der angefochtenen Verfügung durch diese besonders berührt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Verwaltungsbeschwerde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Dienstleistungen, für die sie beansprucht wird, zu gebrauchen und darüber zu verfügen (Art. 13 Abs. 1 MSchG). Auch kann er gegen die Eintragung von Zeichen, die seiner älteren Marke ähnlich und für gleiche oder gleichartige Waren oder Dienstleistungen bestimmt sind, so dass sich daraus eine Verwechslungsgefahr ergibt, Widerspruch erheben (Art. 31 Abs. 1 i.V.m. Art. 3 Abs. 1 Bst. c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4</w:t>
      </w:r>
    </w:p>
    <w:p>
      <w:r>
        <w:t>Die angefochtene Marke wurde am 15. Februar 2005 im SHAB veröffentlicht. Die Widerspruchsfrist begann gemäss den zur Zeit der Einreichung des Widerrufs gültigen Richtlinien 2002 des Instituts analog Art. 932 Abs. 2 des Obligationenrechts vom 30. März 1911 (OR, SR 220) am nächsten Werktag, der dem auf dem SHAB aufgedruckten Ausgabetag folgt. Dies war der 16. Februar 2005. Da es sich bei 16. Mai 2005 um den Pfingstmontag und somit einen vom Bundesrecht anerkannten Feiertag handelte, endete die Dreimonatsfrist am nächstfolgenden Werktag um 24:00 Uhr (vgl. Art. 20 Abs. 3 Satz 1 VwVG). Der mit Postaufgabe vom 17. Mai 2005 eingereichte Widerspruch erfolgte demnach fristgerecht, weshalb die Vorinstanz zurecht auf ihn eingetreten ist.</w:t>
      </w:r>
    </w:p>
    <w:p>
      <w:r>
        <w:rPr>
          <w:b/>
        </w:rPr>
        <w:t>E. 5</w:t>
      </w:r>
    </w:p>
    <w:p>
      <w:r>
        <w:t>Vom Markenschutz ausgeschlossen sind Zeichen, die einer älteren Marke ähnlich und für gleiche oder gleichartige Waren oder Dienstleistungen bestimmt sind, so dass sich daraus eine Verwechslungsgefahr ergibt (Art. 3 Abs. 1 Bst. c MSchG). Voraussetzungen der Verweigerung des Markenschutzes sind demnach eine Zeichenähnlichkeit, eine Waren- bzw. Dienstleistungsgleichartigkeit und eine daraus resultierende Verwechslungsgefahr. Zwischen den beiden ersten Elementen besteht eine Wechselwirkung. An die Zeichenverschiedenheit sind umso höhere Anforderungen zu stellen, je ähnlicher die Waren sind, und umgekehrt sind an die Verschiedenheit der beanspruchten Waren und Dienstleistungen umso höhere Anforderungen zu stellen, je ähnlicher die Zeichen sind (RKGE in sic! 2006, 269 Michel (fig.) / Michel Comte Waters).</w:t>
      </w:r>
    </w:p>
    <w:p>
      <w:r>
        <w:rPr>
          <w:b/>
        </w:rPr>
        <w:t>E. 6</w:t>
      </w:r>
    </w:p>
    <w:p>
      <w:r>
        <w:t>Der Begriff der Verwechslungsgefahr ist nach der Rechtsprechung des Bundesgerichts für das gesamte Kennzeichnungsrecht einheitlich zu umschreiben. Die Gefahr der Verwechslung bedeutet, dass ein Kennzeichen im Schutzbereich, den ihm das Firmen-, Namens-, Marken- oder Wettbewerbsrecht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Personen und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(BGer in sic! 2001, 314 Securitas (fig.)).</w:t>
      </w:r>
    </w:p>
    <w:p>
      <w:r>
        <w:rPr>
          <w:b/>
        </w:rPr>
        <w:t>E. 7</w:t>
      </w:r>
    </w:p>
    <w:p>
      <w:r>
        <w:t>Die Markenähnlichkeit beurteilt sich aufgrund des Gesamteindrucks, den die betreffenden Marken in der Erinnerung der angesprochenen Verkehrskreise hinterlassen. Massgebend für die Beurteilung der Zeichenähnlichkeit ist bei Marken der Wortklang, das Erscheinungsbild und gegebenenfalls der Sinngehalt; dabei genügt für die Annahme einer Ähnlichkeit, wenn diese in Bezug auf nur eines dieser drei Kriterien vorliegt (RKGE in sic! 2006, 270 Michel (fig.) / Michel Comte Waters mit Hinweis auf E. Marbach, SIWR III, Basel 1996, 118 und BGE 122 III 388 E. 5a Kamillosan, Kamillon / Kamillan). Der anwendbare Massstab hängt vom Schutzbereich der älteren Marke ab, der sich nach ihrer Kennzeichnungskraft bestimmt. Demnach ist der geschützte Ähnlichkeitsbereich für schwache Zeichen kleiner als für starke. Während die Beschwerdegegnerin den Schutzumfang einer starken Marke beansprucht, spricht die Beschwerdeführerin von einem schwachen Zeichen mit geringer Schutzfähigkeit. Es gilt daher vorweg den Schutzumfang der Widerspruchsmarke zu prüfen.</w:t>
      </w:r>
    </w:p>
    <w:p>
      <w:r>
        <w:rPr>
          <w:b/>
        </w:rPr>
        <w:t>E. 8</w:t>
      </w:r>
    </w:p>
    <w:p>
      <w:r>
        <w:t>Beim Zeichen der Beschwerdegegnerin handelt es sich um ein Akronym, ein Kunstwort, das aus den Anfangsbuchstaben mehrerer Wörter zusammengesetzt ist. "AZ" steht für "Aargauer Zeitung". Akronyme zählen zum Kreis der eintragungsfähigen Marken. Sie sind daher grundsätzlich gleich zu behandeln wie andere Marken (RKGE in sic! 2001, 651 MPC by Tenson (fig.) / MDC mit Hinweis auf L. David, Kommentar zum Markenschutzgesetz, 2. Aufl., Basel 1999, Art. 3 MSchG N 22). Auch verfügen sie nicht per se über einen eingeschränkten Schutzbereich.</w:t>
      </w:r>
    </w:p>
    <w:p>
      <w:r>
        <w:rPr>
          <w:b/>
        </w:rPr>
        <w:t>E. 9</w:t>
      </w:r>
    </w:p>
    <w:p>
      <w:r>
        <w:t>Die Vorinstanz hielt in ihrer Verfügung fest, dass die Bezeichnung "AZ" im Bereich der Medienerzeugnisse in den unterschiedlichsten Bedeutungen verwendet werde. Es handle sich bezüglich des hier interessierenden Produktbereichs um ein Akronym mit unbestimmten Sinngehalt, weshalb der Widerspruchsmarke eine durchschnittliche Kennzeichnungskraft resp. ein normaler Schutzumfang zukomme. Diese Auffassung kann das Bundesverwaltungsgericht nicht teilen, schreibt die schweizerische Post doch für sämtliche von ihr zugestellten Tageszeitungen und wöchentlich erscheinenden, abonnierten Lokal- und Regionalzeitungen den Frankaturvermerk "AZ" vor (http://www.post.ch/de/pm_broschuere_zeitungen_schweiz.pdf), weshalb das Kürzel für Printmedien nicht unterscheidungskräftig ist. Davon abgesehen wäre die Kennzeichnungskraft des bereits aufgrund seiner Kürze tendenziell wenig originellen Zeichens schon durch anderweitige verbreitete Verwendung als Bestandteil von Wortmarken im Medienbereich erheblich abgeschwächt worden, wird doch die Bezeichnung "AZ" im Volksmund insbesondere für verschiedene mit dem Buchstaben "A" beginnende Zeitungen wie beispielsweise die "Aachener Zeitung", die "Arbeiter Zeitung" oder die "Abendzeitung" benützt. Da die Beschwerdegegnerin das Kürzel gewöhnlich in Verbindung mit ihrem Zeichen "Aargauer Zeitung" verwendet, ist auch dessen angebliche notorische Bekanntheit nicht erwiesen. Es muss folglich von einer schwachen Widerspruchsmarke ausgegangen werden.</w:t>
      </w:r>
    </w:p>
    <w:p>
      <w:r>
        <w:rPr>
          <w:b/>
        </w:rPr>
        <w:t>E. 10</w:t>
      </w:r>
    </w:p>
    <w:p>
      <w:r>
        <w:t>Bei der angefochtenen Marke "6AZ" (fig.) handelt es sich ebenfalls um ein Akronym. Sie unterscheidet sich von der Widerspruchsmarke durch die vorangestellte Ziffer "6" und die konkrete grafische Ausgestaltung, wobei die Zahl gegenüber den beiden Buchstaben vergrössert und leicht abgewinkelt dargestellt ist. Auch wenn die Beifügung oder Weglassung eines Buchstabens bei Wortmarken in aller Regel den Gesamteindruck nicht nachhaltig zu verändern vermag, so gilt dies nicht ohne weiteres bei Akronymen, die meistens Kurzzeichen sind. Solche werden phonetisch und visuell leichter erfasst, so dass sich auch deren Unterschiede, selbst wenn sie nur gerade einen Buchstaben betreffen, eher im Gedächtnis einprägen (RKGE in sic! 2005, 476 SMI / RSMI mit Hinweis auf BGE 121 III 377 E. 2b BOSS / BOKS). Dies gilt insbesondere dann, wenn der unterschiedliche Buchstabe sich am Anfang des Akronyms befindet, da Akronyme sich häufig nur durch ihren ersten Buchstaben voneinander unterscheiden und das Publikum deshalb besonders auf diesen achtet (RKGE in sic! 2005, 476 SMI / RSMI mit Hinweis auf E. Marbach, a.a.O., 119 und RKGE in sic! 2001, 325 SFS / TFS).</w:t>
      </w:r>
    </w:p>
    <w:p>
      <w:r>
        <w:rPr>
          <w:b/>
        </w:rPr>
        <w:t>E. 11</w:t>
      </w:r>
    </w:p>
    <w:p>
      <w:r>
        <w:t>Den Wortklang prägen das Silbenmass, die Aussprachekadenz und die Aufeinanderfolge der Vokale. Bei einem Vergleich der beiden als "Sechs-ah-zet" und "Azet" ausgesprochenen Marken ist eine Ähnlichkeit des Klangs aufgrund dieser Merkmale zu verneinen. Im Gegensatz zum dreisilbigen Zeichen der Beschwerdeführerin ist die Widerspruchsmarke ungleich kürzer und kann mühelos in einer Silbe formuliert werden. Hinzu kommt, dass die Zeichen über einen anderen Wortanfang und eine unterschiedliche Zahl von Vokalen verfügen. Das Schriftbild wird vorallem durch die Wortlänge und die Eigenheiten der verwendeten Buchstaben gekennzeichnet. Die jüngere Marke besteht anders als die ältere aus drei anstelle von zwei Schriftzeichen. Neben der unterschiedlichen Länge der Akronyme sticht bei der angefochtenen Marke insbesondere der Umstand, dass am Wortanfang anstelle eines Buchstabens eine Zahl steht, ins Auge. Dieser Unterschied wird durch die grafische Ausgestaltung noch verstärkt, indem die Ziffer "6" gegenüber den nachfolgenden Buchstaben "az" vergrössert und leicht im Gegenuhrzeigersinn verdreht dargestellt wird. Für den Gesamteindruck einer Wortmarke kann auch ihr Sinngehalt entscheidend sein. In Betracht fallen neben der eigentlichen Wortbedeutung auch Gedankenverbindungen, die das Zeichen unweigerlich hervorruft. Markante Sinngehalte, die sich beim Hören und beim Lesen sogleich aufdrängen, dominieren regelmässig auch das Erinnerungsbild (BGE 121 III 377 E. 2b BOSS / BOKS). Akronyme als solche verfügen grundsätzlich über keinen Sinngehalt. Abgesehen davon, dass im Bereich der Printmedien der Buchstabe "Z" oft für "Zeitung" oder "Zeitschrift" steht, weist einzig die zweideutige Zahl "6" auf die Natur des Inhalts hin. Es lässt sich demnach festhalten, dass allein die angefochtene Marke über einen auffälligen Sinngehalt verfügt. Aufgrund der Kriterien des Wortklangs, des Schriftbilds und des Sinngehalts ist demnach eine unmittelbare Ähnlichkeit der beiden Marken zu verneinen.</w:t>
      </w:r>
    </w:p>
    <w:p>
      <w:r>
        <w:rPr>
          <w:b/>
        </w:rPr>
        <w:t>E. 12</w:t>
      </w:r>
    </w:p>
    <w:p>
      <w:r>
        <w:t>Die Beschwerdegegnerin machte geltend, ihr Zeichen sei in die angefochtene Marke vollumfänglich übernommen worden. Dies erwecke den Eindruck, es bestehe eine irgendwie geartete Verbindung bezüglich der Inhaberschaft der beiden Marken. Demnach behauptete die Beschwerdegegnerin das Bestehen einer mittelbaren Verwechslungsgefahr, welche nach Praxis dann vorliegt, wenn das Publikum zwei Marken zwar zu unterscheiden vermag, aber aufgrund eines übereinstimmenden Elements einen Zusammenhang produktspezifischer oder unternehmensspezifischer Art vermutet (L. David, a.a.O., Art. 3 MSchG N 6, E. Marbach, a.a.O., 112). Eine solche Vermutung setzt voraus, dass das betreffende mit der älteren Marke übereinstimmende Element der jüngeren Marke überhaupt als solches erkannt wird und nicht in einem neuen Gesamteindruck aufgeht. Akronyme werden indessen in aller Regel als einheitliche Gebilde aufgefasst, es sei denn, sie würden mittels Trennstrich oder anderer grafischer Mittel unterteilt (RKGE in sic! 2005, 477 SMI / RSMI).</w:t>
      </w:r>
    </w:p>
    <w:p>
      <w:r>
        <w:rPr>
          <w:b/>
        </w:rPr>
        <w:t>E. 13</w:t>
      </w:r>
    </w:p>
    <w:p>
      <w:r>
        <w:t>Es ist zu prüfen, ob die in der angefochtenen Marke enthaltene Buchstabenfolge "AZ" als ein eigenständiges Element erkannt und mit dem Zeichen der Beschwerdegegnerin in Verbindung gebracht wird. Für einen autonomen Bestandteil könnte allenfalls die unterschiedliche Schriftgrösse sowie die andere Ausrichtung der Zahl "6" sprechen. Dagegen lässt sich jedoch einwenden, dass die drei Schriftzeichen zusammenhängen und in derselben schattierten Schrift verfasst worden sind. Das Wortgebilde wird denn auch als Einheit gelesen und ausgesprochen. Des Weiteren steht die Buchstabenkombination "AZ" nicht am Anfang des Akronyms und kommt somit auch weniger zur Geltung. Selbst wenn man von einer Segmentierung des Zeichens ausginge, so würde sich die Aufmerksamkeit des Konsumenten eher auf die am Wortanfang stehende und durch grössere Schriftgrösse sowie Drehung hervorgehobene Zahl richten. Im Übrigen ist die Rezeption einer älteren Marke zulässig, wenn durch das hinzugefügte Zeichen der Sinngehalt verändert wird oder es sich beim übernommenen Element um ein schwaches Zeichen handelt und dieses mit einem kennzeichnungskräftigen Bestandteil verbunden wird (RKGE in sic! 2006, 270 Michel / Michel Comte Waters). Bei der übernommenen Buchstabenfolge handelt es sich, wie bereits festgestellt wurde, um eine schwache Marke. Durch Hinzufügen der grafisch akzentuierten Zahl "6" wird das Widerspruchszeichen stark verändert und erhält ebenfalls einen neuen Sinngehalt. Zusammenfassend lässt sich demnach festhalten, dass auch keine Markenähnlichkeit in dem Sinne vorliegt, dass sich daraus eine mittelbare Verwechslungsgefahr ergeben könnte.</w:t>
      </w:r>
    </w:p>
    <w:p>
      <w:r>
        <w:rPr>
          <w:b/>
        </w:rPr>
        <w:t>E. 14</w:t>
      </w:r>
    </w:p>
    <w:p>
      <w:r>
        <w:t>Mangels Markenähnlichkeit, ist eine Verwechslungsgefahr zu verneinen, weshalb auf die Frage der Gleichartigkeit der Waren und Dienstleistungen nicht einzugehen ist. Nicht zu prüfen ist auch die Rüge der Beschwerdeführerin, wegen ihrer nicht widerlegten Nichtgebrauchseinrede hätte das Institut bereits im Widerspruchsentscheid den Widerspruch für Waren der Klasse 9 abweisen müssen. Die Beschwerde erweist sich somit als begründet und ist gutzuheissen. Die Verfügung der Vorinstanz ist aufzuheben. Bei diesem Ausgang des Verfahrens wird die Beschwerdegegnerin kostenpflichtig und es steht der Beschwerdeführerin einen Anspruch auf Parteientschädigung zu (Art. 63 Abs. 1 und Art. 64 Abs. 1 VwVG). Letzterer ist ausserdem der geleistete Kostenvorschuss zurück zu erstatten.</w:t>
      </w:r>
    </w:p>
    <w:p>
      <w:r>
        <w:rPr>
          <w:b/>
        </w:rPr>
        <w:t>E. 15</w:t>
      </w:r>
    </w:p>
    <w:p>
      <w:r>
        <w:t>Die Gerichtsgebühr ist nach Umfang und Schwierigkeit der Streitsache, Art der Prozessführung und finanzieller Lage der Parteien festzulegen (Art. 63 Abs. 4bis VwVG, Art. 2 des Reglements über die Kosten und Entschädigungen vor dem Bundesverwaltungsgericht vom 11. Dezember 2006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Fr. 40'000.--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w:t>
      </w:r>
    </w:p>
    <w:p>
      <w:r>
        <w:rPr>
          <w:b/>
        </w:rPr>
        <w:t>E. 16</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Beschwerdegegnerin an die Beschwerdeführerin von Fr. 5'000.-- (inkl. allfällige MWST) für das erstinstanzliche Verfahren und das Beschwerdeverfahren angemessen.</w:t>
      </w:r>
    </w:p>
    <w:p>
      <w:r>
        <w:rPr>
          <w:b/>
        </w:rPr>
        <w:t>E. 17</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