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B-7430/2008 vom 5. Mai 2010</w:t>
      </w:r>
    </w:p>
    <w:p>
      <w:r>
        <w:t>Bundesverwaltungsgericht, 2010-05-05, FR</w:t>
      </w:r>
    </w:p>
    <w:p>
      <w:r>
        <w:rPr>
          <w:b/>
        </w:rPr>
        <w:t xml:space="preserve">Quelle: </w:t>
      </w:r>
      <w:r>
        <w:t>https://mcp.opencaselaw.ch/entscheid/bvger_B-7430_2008</w:t>
      </w:r>
    </w:p>
    <w:p>
      <w:r>
        <w:t>FR: TAF B-7430/2008 du 5 mai 2010</w:t>
      </w:r>
    </w:p>
    <w:p>
      <w:r>
        <w:t>IT: TAF B-7430/2008 del 5 maggio 2010</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ainsi recevable.</w:t>
      </w:r>
    </w:p>
    <w:p>
      <w:r>
        <w:rPr>
          <w:b/>
        </w:rPr>
        <w:t>E. 2</w:t>
      </w:r>
    </w:p>
    <w:p>
      <w:r>
        <w:t>A teneur de l'art. 3 al. 1 let. c de la loi fédérale du 28 août 1992 sur la protection des marques (LPM, RS 232.11), sont exclus de la protection comme marque les signes similaires à une marque antérieure et destinés à des produits identiques ou similaires lorsqu'il en résulte un risque de confusion. 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B-8011/2007 du 24 octobre 2008 consid. 3 EMOTION/e motion).</w:t>
      </w:r>
    </w:p>
    <w:p>
      <w:r>
        <w:rPr>
          <w:b/>
        </w:rPr>
        <w:t>E. 3</w:t>
      </w:r>
    </w:p>
    <w:p>
      <w:r>
        <w:t>Des produits ou des services sont similaires lorsque les cercles des consommateurs concernés peuvent être amenés à penser, en présence de marques similaires et au regard de leurs lieux de production et de distribution usuels, qu'ils proviennent de la même entreprise ou qu'ils seraient du moins produits ou offerts par des entreprises liées sur le plan économique et sous le contrôle d'un titulaire unique (LUCAS DAVID, Kommentar zum schweizerischen Privatrecht, Markenschutzgesetz, Muster- und Modellgesetz, 2e éd., Bâle 1999, MSchG, n° 8 et 35 ad art. 3). Il n'y a en l'espèce pas lieu de s'écarter de la motivation de l'IPI, de surcroît non contestée par les parties, selon laquelle, à l'exception des «services de traduction», les services visés en classe 41 sont similaires. Ainsi, les «services de formation et d'enseignement» se retrouvent dans les services d'éducation et de formation ; les services d'«organisation de symposiums, de colloques, de congrès et de séminaires» sont similaires aux services de formation et d'éducation dès lors qu'ils peuvent en constituer le complément ou la suite logique ; les «services d'édition de magazines, de livres, de revues spécialisées et autres produits imprimés» se retrouvent dans les services de publication de magazines, livres, textes et produits imprimés ; enfin, les «services d'artistes de spectacles, production de films, photographie, montage de programmes radiophoniques et d'émissions de télévision» sont similaires aux divers services de divertissement de la marque opposante. Lorsque la recourante soutient que le contexte dans lequel les services sont dispensés est totalement différent, dès lors que l'intimée est une société de télédiffusion, tandis que la recourante est un transporteur aérien, elle semble méconnaître le principe selon lequel l'appréciation du risque de confusion se fait sur la base des marques telles qu'inscrites au registre et non sur leur utilisation dans le commerce (arrêt du TAF B-7438/2006 du 10 mai 2007 in sic! 2007 749 consid. 5 Cellini/Elini). En l'espèce, les libellés des services visés par les marques ne renseignent pas plus avant sur les circonstances dans lesquels ils sont proposés et il convient conséquemment de présumer qu'ils peuvent être dispensés dans tous les secteurs possibles.</w:t>
      </w:r>
    </w:p>
    <w:p>
      <w:r>
        <w:rPr>
          <w:b/>
        </w:rPr>
        <w:t>E. 4</w:t>
      </w:r>
    </w:p>
    <w:p>
      <w:r>
        <w:t>A l'exception des services de formation et d'enseignement, ainsi que des services de photographie qui s'adressent en première ligne au consommateur moyen, il y a lieu de considérer que les autres services sont destinés à un public plus spécialisé qui fera preuve d'une certaine attention en recourant à de tels services. Ainsi, les services d'organisation de symposiums, de colloques, de congrès et de séminaires s'adressent par exemple à des entreprises, des associations ou des fédérations de tous horizons et ont pour but de rassembler différents intervenants sur un thème particulier (voir en ce sens l'arrêt du TAF B-8105/2007 du 17 novembre 2008 consid. 4.1 Activia/Activia). Les autres services sont quant à eux destinés à un public actif dans les domaines de l'édition, du spectacle, de la production de films ainsi que du montage radiophonique ou télévisé.</w:t>
      </w:r>
    </w:p>
    <w:p>
      <w:r>
        <w:rPr>
          <w:b/>
        </w:rPr>
        <w:t>E. 5</w:t>
      </w:r>
    </w:p>
    <w:p>
      <w:r>
        <w:t>La comparaison des signes litigieux suppose en premier lieu de s'interroger sur l'étendue de protection de la marque opposante, celle-ci étant indispensable pour estimer le risque de confusion (arrêt du TAF B-8052/2008 du 29 octobre 2009 consid. 7.2 G-STAR/X-STAR). L'aire de protection d'une marque dépend de sa force distinctive. Elle est plus restreinte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w:t>
      </w:r>
    </w:p>
    <w:p>
      <w:r>
        <w:rPr>
          <w:b/>
        </w:rPr>
        <w:t>E. 5.1</w:t>
      </w:r>
    </w:p>
    <w:p>
      <w:r>
        <w:t>La recourante soutient que l'essentiel des activités de l'intimée repose sur la production et la retransmission de programmes télévisés, qui se fait principalement par satellite, et que le terme «sky» désigne ainsi directement le genre, la qualité ou la destination des produits et/ou des services visés. Elle ajoute qu'il existe de nombreuses marques comprenant l'élément «sky» pour des services de transport (cl. 39) ou de radio et/ou de télédiffusion (cl. 38 et 41) et que ce terme est faible, sinon descriptif pour ces services.</w:t>
      </w:r>
    </w:p>
    <w:p>
      <w:r>
        <w:rPr>
          <w:b/>
        </w:rPr>
        <w:t>E. 5.2</w:t>
      </w:r>
    </w:p>
    <w:p>
      <w:r>
        <w:t>Il sied de prime abord de rappeler que l'opposition ne concerne en l'occurrence que des services désignés en classe 41 et que, partant, la force distinctive de la marque opposante ne doit ici être examinée qu'en relation avec ces services. Peu importe dès lors de savoir quelles sont les activités principales de l'intimée. La marque opposante est constituée du terme anglais «sky» signifiant «ciel» en français. Les consommateurs suisses possédant au moins le vocabulaire de base anglais (arrêt du TAF B-7468/2006 du 6 septembre 2007 consid. 5.1 Seven/Seven for all mankind), ces derniers en comprendront aisément le sens. Le Tribunal administratif fédéral a déjà eu l'occasion de s'exprimer par deux fois sur la force distinctive de la marque opposante en lien cette fois avec des produits et services des classes 9, 38 et 42, dont en particulier des services liés à la télécommunication. A cette occasion, il a considéré qu'elle jouissait d'une force distinctive et d'un champ de protection normaux en lien avec ces produits et services dès lors qu'aucune indication sur leurs qualités, caractéristiques, composition, destination, origine ou effet n'était directement perceptible pour le consommateur moyen sans effort intellectuel particulier ou recours à l'imagination et que l'association de ce mot avec un moyen de transmission ne s'imposait pas d'emblée au consommateur (arrêts du TAF B-386/2007 du 4 décembre 2009 consid. 7.1 SKY/SKYPE IN, SKYPE OUT et B-1077/2008 du 3 mars 2009 consid. 6.1 SKY/SkySIM). En l'espèce, la lecture du libellé des services visés en classe 41 par la marque opposante ne permet, à plus forte raison, pas d'arriver à une conclusion différente. Partant, cette marque, fantaisiste en lien avec ces services, bénéficie d'un champ de protection normal.</w:t>
      </w:r>
    </w:p>
    <w:p>
      <w:r>
        <w:rPr>
          <w:b/>
        </w:rPr>
        <w:t>E. 5.3</w:t>
      </w:r>
    </w:p>
    <w:p>
      <w:r>
        <w:t>Faisant valoir qu'il existe de nombreux enregistrements contenant l'élément «sky», la recourante se réfère en particulier, s'agissant de la classe 41, à douze marques suisses et à onze marques internationales désignant la Suisse. Elle relève que la grande majorité de ces marques combinent nécessairement un élément verbal ou figuratif supplémentaire et qu'en choisissant de déposer ce terme sous une forme verbale, l'intimée s'expose à un certain encombrement des registres. La recourante reprend ici l'argumentation déjà développée devant l'IPI. A cet égard, elle avait souligné dans sa duplique qu'elle n'avait jamais invoqué la dilution du terme «sky», ajoutant que l'application de ce principe supposait déjà qu'il soit notoire, ce qui n'avait jamais été soutenu ni ne paraissait établi. En l'espèce, bien qu'elle s'en défende, l'on doit vraisemblablement admettre qu'en énumérant divers enregistrements comprenant le terme «sky», la recourante tend implicitement à démontrer que cet élément, qui relève selon elle du domaine public, est largement utilisé dans le commerce et qu'il a par conséquent subi une dilution. S'agissant des marques suisses auxquelles se réfère la recourante, l'intimée relève que déduction faite des deux marques qui lui appartiennent, de la marque déposée au nom d'un titulaire lui étant lié et de quatre marques faisant l'objet de démarches de sa part (opposition ou négociation), il ne reste que cinq marques comprenant l'élément «sky» en classe 41. Quant aux marques internationales, trois lui appartiennent, deux font l'objet de démarches de sa part et deux ne figurent plus dans le registre, de sorte que seuls quatre enregistrements doivent être pris en compte. A l'instar de l'intimée, il y a lieu d'admettre que la coexistence de neuf marques ne suffit à tout le moins pas à envisager une quelconque dilution, et par là un affaiblissement, du terme «sky» en lien avec les services de la classe 41, ce d'autant que la recourante ne prétend ni ne démontre que ces marques seraient utilisées en Suisse (arrêt du TAF précité B-1077/2008 consid. 6.2.2 SKY/skySIM).</w:t>
      </w:r>
    </w:p>
    <w:p>
      <w:r>
        <w:rPr>
          <w:b/>
        </w:rPr>
        <w:t>E. 5.4</w:t>
      </w:r>
    </w:p>
    <w:p>
      <w:r>
        <w:t>Il ressort de ce qui précède que le signe opposant est fantaisiste en lien avec les services qu'il vise en classe 41, qu'il ne peut être tenu pour dilué pour ces services et qu'il dispose d'une aire de protection normale. Partant, une reprise de ses caractéristiques générales par une marque tierce qui ne s'en éloignerait pas suffisamment est susceptible, a priori, de créer un risque de confusion.</w:t>
      </w:r>
    </w:p>
    <w:p>
      <w:r>
        <w:rPr>
          <w:b/>
        </w:rPr>
        <w:t>E. 6</w:t>
      </w:r>
    </w:p>
    <w:p>
      <w:r>
        <w:t>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(ATF 121 III 377 consid. 2a Boss/Boks). L'impression des marques verbales est déterminée par leur effet auditif, leur représentation graphique et leur signification (arrêt du TAF B-142/2009 du 6 mai 2009 consid. 2.3 Pulcino/Dolcino) et la similitude doit en principe déjà être admise lorsqu'un risque de confusion se manifeste sur la base de l'un de ces trois critères (DAVID, op. cit., n° 17 ad art. 3). S'agissant des marques combinées d'éléments verbaux et figuratifs, l'impression d'ensemble est largement marquée par les éléments verbaux lorsque les éléments graphiques ne sont pas particulièrement originaux et que ceux-ci ne sont pas en mesure de conférer à la marque une image facile à retenir (arrêt du TAF B-7439/2006 du 6 juillet 2007 in sic! 2008 36 consid. 7.1 Kinder/Kinder Party).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w:t>
      </w:r>
    </w:p>
    <w:p>
      <w:r>
        <w:rPr>
          <w:b/>
        </w:rPr>
        <w:t>E. 6.1</w:t>
      </w:r>
    </w:p>
    <w:p>
      <w:r>
        <w:t>Visuellement, la marque opposante consiste en un mot de trois lettres en caractères d'imprimerie majuscules. La marque attaquée est composée de l'élément verbal «skylife», représenté dans une écriture en minuscules très légèrement stylisée, qui se trouve au centre d'un carré dont les fines lignes latérales touchent les lettres initiale et finale «s» et «e». Force est d'admettre que la police de caractères utilisée, de même que la forme du carré ne s'avèrent pas d'une grande originalité et que cette représentation graphique peu imprégnante n'est pas décisive pour l'examen de la similarité. La marque attaquée reprend intégralement la marque opposante en son début en y ajoutant le terme «life». Dans ce contexte, il sied ici de rappeler que la reprise d'une marque prioritaire ou de son élément prépondérant conduit la plupart du temps à une similarité entre les signes (GALLUS JOLLER in : Gregor Wild/Michael Noth/Gregor Bühler/Florent Thouvenin [Hrsg.], Markenschutzgesetz [MSchG], Berne 2009, n° 127 ad art. 3 et les réf. citées). En outre, dès lors que la première partie du signe a, en général, une importance particulière (arrêt du TAF précité B-1077/2008 consid. 7.1 Sky/SkySIM ; DAVID, op. cit., n° 20 ad art. 3), il y a lieu de conclure qu'à la lecture du signe attaqué, l'attention du consommateur se portera bien plus sur l'élément d'attaque «sky» que sur le terme «life». Partant, en dépit d'une longueur différente et de la présence d'un graphisme qui ne se retrouve pas dans la marque opposante, une certaine similitude visuelle doit être admise entre les signes due à la reprise de l'élément «sky».</w:t>
      </w:r>
    </w:p>
    <w:p>
      <w:r>
        <w:rPr>
          <w:b/>
        </w:rPr>
        <w:t>E. 6.2</w:t>
      </w:r>
    </w:p>
    <w:p>
      <w:r>
        <w:t>Phonétiquement, la marque opposante est monosyllabique tandis que la marque attaquée dénombre deux syllabes. Le public suisse prononcera sans difficulté le terme «sky» à la manière anglaise, soit «skaï». La césure phonétique observée en prononçant la marque attaquée intervient entre les éléments «sky» et «life», ceci ayant pour effet de faire ressortir fortement, comme syllabe d'attaque, l'élément «sky». Là encore, en gardant à l'esprit que le début de la marque a en général une importance particulière, force est de reconnaître que l'ajout des lettres «life» ne suffit pas à occulter la similitude auditive ressortant des signes due à la reprise de l'élément «sky».</w:t>
      </w:r>
    </w:p>
    <w:p>
      <w:r>
        <w:rPr>
          <w:b/>
        </w:rPr>
        <w:t>E. 6.3</w:t>
      </w:r>
    </w:p>
    <w:p>
      <w:r>
        <w:t>Une similarité visuelle ou auditive peut être compensée par un sens clairement différent ; une telle compensation n'est cependant possible que lorsqu'une association immédiate et évidente se fait avec un terme précis (arrêt du TAF B-7460/2006 du 6 juillet 2007 consid. 6 Adia/Aida Jobs, Aida Personal). Le terme anglais «sky» revêt pour le public cible une signification claire et univoque, à savoir «ciel», et s'imprégnera facilement dans sa mémoire. Comme il le fera en lisant et en prononçant la marque attaquée, le consommateur procédera à une césure intellectuelle entre les éléments «sky» et «life». Connaissant le vocabulaire anglais de base (consid. 5.2), il comprendra aisément le terme «life» comme signifiant «vie«, de sorte que le signe attaqué peut être interprété comme «vie du ciel» ou «vie dans le ciel». L'on ne peut se rallier à l'opinion de la recourante selon laquelle les signes se distinguent sémantiquement dès lors que la marque opposante se réfère à l'élément céleste, tandis que la marque attaquée évoque un lieu censé être le théâtre d'événements particuliers. Il convient au contraire d'admettre que la désignation «skylife» suscite clairement une association d'idée avec le ciel, soit ce qu'on y vit ou ce qu'on y trouve. Le fait de combiner une marque antérieure d'un tiers avec un nouvel élément pour former sa propre marque n'est pas admissible, à moins que cette nouvelle combinaison puisse créer un ensemble doté d'une signification bien distincte de la marque antérieure (arrêt du TAF précité B-1077/2008 consid. 7.3 SKY/SkySIM). En l'occurrence, l'ajout du terme «life» ne suffit pas à distinguer les deux signes de manière significative sur le plan conceptuel au point d'en occulter leur similitude phonétique et visuelle.</w:t>
      </w:r>
    </w:p>
    <w:p>
      <w:r>
        <w:rPr>
          <w:b/>
        </w:rPr>
        <w:t>E. 7</w:t>
      </w:r>
    </w:p>
    <w:p>
      <w:r>
        <w:t>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signes mais présume, en raison de leur ressemblance, de l'existence de rapports qui n'existent pas, notamment en pensant à des marques de série désignant différentes lignes de produits provenant de la même entreprise ou d'entreprises économiquement liées entre elles (risque de confusion indirect) (ATF 128 III 441 consid. 3.1 Appenzeller). Un risque de confusion ou une similitude entre les signes doivent être exclus lorsque l'adjonction d'un élément modifie l'impression d'ensemble de la marque la plus récente de manière telle que les consommateurs ne reconnaissent plus la marque antérieure en tant que telle (arrêt du TAF précité B-1077/2008 consid. 7.3 SKY/SkySIM). En l'espèce, la marque attaquée reprend intégralement la marque opposante, disposant d'un champ de protection normal, en y adjoignant le terme «life» ainsi qu'un élément figuratif. Ces ajouts ne sont pas de nature à modifier l'impression d'ensemble de la marque attaquée pour en faire un nouvel ensemble qui se démarquerait nettement de la marque opposante. Par voie de conséquence, compte tenu de la similarité ou de l'identité des services désignés et de la similarité des signes tant sur les plans visuel, phonétique et sémantique due à la reprise de l'élément prépondérant «sky», il existe un risque de confusion direct entre eux. Par ailleurs, le public pertinent pourra comprendre l'élément «life» comme une référence à un mode ou à un style de vie particulier et ainsi appréhender la marque attaquée comme signifiant «la vie de SKY», «la vie selon SKY» ou encore «la vie au sein de SKY». Il pourrait dès lors présumer, à tort, que les services proposés sous cette marque sont offerts par le même titulaire que celui de la marque opposante, ce qui parle également en faveur d'un risque de confusion indirect.</w:t>
      </w:r>
    </w:p>
    <w:p>
      <w:r>
        <w:rPr>
          <w:b/>
        </w:rPr>
        <w:t>E. 8</w:t>
      </w:r>
    </w:p>
    <w:p>
      <w:r>
        <w:t>Il résulte de ce qui précède que la décision attaquée ne viole pas le droit fédéral, qu'elle ne repose pas sur une constatation inexacte ou incomplète des faits et qu'elle n'est pas inopportune (art. 49 PA). Partant, le recours doit être rejeté.</w:t>
      </w:r>
    </w:p>
    <w:p>
      <w:r>
        <w:rPr>
          <w:b/>
        </w:rPr>
        <w:t>E. 9</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une procédure de recours en matière d'opposition, la valeur litigieuse doit être estimée entre Fr. 50'000.- et Fr. 100'000.- (ATF 133 III 490 consid. 3.3). En l'espèce, les frais de procédure doivent être fixés à Fr. 4'000.- et sont compensés par l'avance de frais de Fr. 5'000.- déjà versée par la recourante. Le solde de Fr. 1'000.- lui est restitué. L'intimée, qui obtient gain de cause et qui est représentée par un mandataire, a droit à des dépens (art. 64 al. 1 PA en rel. avec les art. 7 al. 1 et 14 FITAF). Cette dernière a produit une note de frais datée du 24 mars 2010 d'un montant de Fr. 8'000.- pour la préparation de l'opposition et de la réplique devant l'IPI ainsi que pour la réponse au recours. En l'espèce, l'intimée, dont l'opposition a été admise par l'IPI, s'est déjà vue octroyer par ce dernier des dépens à hauteur de Fr. 2'800.- (dont Fr. 800.- à titre de remboursement de la taxe d'opposition). Elle ne saurait ainsi prétendre à ce que des dépens additionnels pour la procédure devant l'autorité inférieure lui soient encore alloués dans la procédure de recours. Il y a lieu d'admettre que si la présente procédure a présenté une certaine complexité, le mandataire de l'intimée n'a cependant pas été confronté à des questions de fait ou de droit inhabituelles ou exceptionnellement ardues et n'a pas été amené à étudier un dossier particulièrement volumineux. Partant, il se justifie d'allouer à l'intimée une indemnité équitable de Fr. 3'000.- (TVA comprise) à titre de dépens pour la procédure de recours.</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