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B-7429/2006 vom 20. März 2008</w:t>
      </w:r>
    </w:p>
    <w:p>
      <w:r>
        <w:t>Bundesverwaltungsgericht, 2008-03-20, DE</w:t>
      </w:r>
    </w:p>
    <w:p>
      <w:r>
        <w:rPr>
          <w:b/>
        </w:rPr>
        <w:t xml:space="preserve">Quelle: </w:t>
      </w:r>
      <w:r>
        <w:t>https://mcp.opencaselaw.ch/entscheid/bvger_B-7429_2006</w:t>
      </w:r>
    </w:p>
    <w:p>
      <w:r>
        <w:t>FR: TAF B-7429/2006 du 20 mars 2008</w:t>
      </w:r>
    </w:p>
    <w:p>
      <w:r>
        <w:t>IT: TAF B-7429/2006 del 20 marzo 2008</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Bst. d VGG). Die Beschwerde wurde in der gesetzlichen Frist von Art. 50 des Bundesgesetzes über das Verwaltungsverfahren vom 20. Dezember 1968 (Verwaltungsverfahrensgesetz, VwVG; SR 172.021) am 23. Mai 2003 eingereicht, und der verlangte Kostenvorschuss wurde rechtzeitig geleistet. Die Beschwerdeführerin ist durch die angefochtene Verfügung besonders berührt und durch den Entscheid beschwert (Art. 48 VwVG). Auf die Beschwerde ist darum einzutreten.</w:t>
      </w:r>
    </w:p>
    <w:p>
      <w:r>
        <w:rPr>
          <w:b/>
        </w:rPr>
        <w:t>E. 2</w:t>
      </w:r>
    </w:p>
    <w:p>
      <w:r>
        <w:t>Nach Art. 3 Abs. 1 Bst. c. des Markenschutzgesetzes vom 28. August 1992 (MSchG, SR 232.11) sind Zeichen vom Markenschutz ausgeschlossen, wenn sie einer älteren Marke ähnlich und für gleiche oder gleichartige Waren oder Dienstleistungen registriert sind, so dass sich daraus eine Verwechslungsgefahr ergibt. Ihre Beurteilung richtet sich nach der Ähnlichkeit der Zeichen im Erinnerungsbild des Letztabnehmers (BGE 121 III 378 E. 2a Boss, BGE 119 II 473 E. 2d Radion) und nach dem Mass an Gleichartigkeit zwischen den geschützten Waren und Dienstleistungen. Zwischen diesen beiden Elementen besteht eine Wechselwirkung: An die Verschiedenheit der Zeichen sind umso höhere Anforderungen zu stellen, je ähnlicher die Produkte sind, und umgekehrt (Lucas David, in: Kommentar zum schweizerischen Privatrecht, Markenschutzgesetz Muster- und Modellgesetz, 2. Aufl., Basel 1999, MSchG, Art. 3, N. 8).</w:t>
      </w:r>
    </w:p>
    <w:p>
      <w:r>
        <w:rPr>
          <w:b/>
        </w:rPr>
        <w:t>E. 3</w:t>
      </w:r>
    </w:p>
    <w:p>
      <w:r>
        <w:t>Die Vorinstanz hat die zu vergleichenden Marken in der Annahme geprüft, zwischen ihnen bestehe Warenidentität. Nach der Einschränkung der Widerspruchsmarke auf nichtmedizinische Waren kann nun keine Warenidentität mehr angenommen werden. Die Vorinstanz hat sich weder in ihrem Nichtwiedererwägungsentscheid vom 5. Mai 2003 noch im Beschwerdeverfahren zur Frage geäussert, ob sie ihren Entscheid auf der richtigen materiellen Grundlage gefällt hat, als die Einschränkung im Internationalen Register noch nicht eingetragen und erst als Einschränkung der Basismarke publik war. In ihrem Nichtwiedererwägungsschreiben an die Beschwerdeführerin machte sie jedoch sinngemäss geltend, dass diese ihr einen vom Registereintrag abweichenden Wortlaut zuerst hätte nachweisen müssen, da die Parteien über die konkreten Verhältnisse des Einzelfalls besser unterrichtet seien als die Vorinstanz. Das ist unrichtig. Die Vorinstanz hat einen direkten elektronischen Zugriff auf die Eintragungen aller nationalen Markenregister (vgl. www.ip-search.ch). Sie hat von Amtes wegen zu prüfen, ob einer im internationalen Register eingetragenen Marke die Schutzwirkung einer schweizerischen Marke gebührt (Art. 46 Abs. 1 MSchG) oder ihr aufgrund des Madrider Abkommens über die internationale Registrierung von Marken, revidiert in Stockholm am 14. Juli 1967 ("MMA", SR 232.112.3) oder des Protokolls zum MMA vom 27. Juni 1989 ("MMP", SR 232.112.4) eine Schutzeinschränkung entgegensteht, zumal Art. 44 Abs. 2 MSchG abweichende Bestimmungen dieser Staatsverträge ausdrücklich vorbehält. Auch ohne ausdrücklichen Einwand der Beschwerdeführerin durfte sich die Vorinstanz darum nicht bedenkenlos auf die Schutzwirkung einer Internationalen Registrierung im Zeitpunkt ihres Widerspruchsentscheids verlassen. Gemäss Art. 6 Abs. 3 MMA und Art. 6 Abs. 3 MMP kann der durch eine internationale Registrierung erlangte Schutz nicht in Anspruch genommen werden, wenn und soweit die Basismarke innerhalb von fünf Jahren seit der internationalen Registrierung den Schutz im Ursprungsland nicht mehr geniesst. Als Folge eines Teilverzichts auf die Basismarke während der Dauer dieser Abhängigkeit ist darum nicht bloss die Eintragung im Internationalen Register einzuschränken, sondern auch bereits ab Wegfall des Schutzes im Ursprungsland in gleichem Umfang der Internationalen Registrierung der Rechtsschutz zu verweigern. Der über den Inhalt der nationalen Markenregister bestens unterrichteten Vorinstanz kann zugemutet werden, in Widerspruchsfällen mit Internationalen Widerspruchsmarken die nationalen Basisregistrierungen heranzuziehen und allfällige schutz- oder verfahrenshindernde Erkenntnisse aus diesen Eintragungen von Amtes wegen zu berücksichtigen.</w:t>
      </w:r>
    </w:p>
    <w:p>
      <w:r>
        <w:rPr>
          <w:b/>
        </w:rPr>
        <w:t>E. 4</w:t>
      </w:r>
    </w:p>
    <w:p>
      <w:r>
        <w:t>Das Bundesverwaltungsgericht entscheidet auf Beschwerde in der Sache selbst oder weist diese ausnahmsweise mit verbindlichen Weisungen an die Vorinstanz zurück (Art. 61 Abs. 1 VwVG). Ein Rückweisungsentscheid rechtfertigt sich einerseits, wenn weitere Tatsachen abzuklären und ein umfassendes Beweisverfahren durchzuführen sind, und andererseits, wenn die Vorinstanz zu Unrecht einen Nichteintretensentscheid gefällt und gar keine materielle Prüfung vorgenommen hat (Urteil des Bundesverwaltungsgerichts B-7420/2006 vom 10. Dezember 2007, E. 4.1 Workplace mit weiteren Hinweisen). Vorliegend ist die Vorinstanz auf den Widerspruch des Beschwerdegegners zwar eingetreten, doch hat sie diesen auf einer unzutreffenden Grundlage beurteilt, die wesentlich vom tatsächlich gültigen Schutzumfang der Widerspruchsmarke abweicht, ohne dass andererseits das Fehlen einer Verwechslungsgefahr aufgrund der neuen Beurteilungsgrundlage deswegen geradezu auf der Hand läge. Da das Bundesverwaltungsgericht in Widerspruchssachen als letzte Instanz entscheidet (Art. 73 des Bundesgerichtsgesetzes vom 17. Juni 2005 [BGG, SR 173.110]), hat es sich auch Zurückhaltung aufzuerlegen, wenn die Vorinstanz zwar auf den Widerspruch eingetreten ist aber wesentliche Rechtsfragen im Hauptpunkt des Widerspruchs nicht geprüft wurden (vgl. RKGE in sic! 2006 S. 39 E. 6 Syscor/Sicor). Die Beschwerde ist darum gutzuheissen und zu neuem Entscheid im Sinne der Erwägungen an die Vorinstanz zurückzuweisen.</w:t>
      </w:r>
    </w:p>
    <w:p>
      <w:r>
        <w:rPr>
          <w:b/>
        </w:rPr>
        <w:t>E. 5</w:t>
      </w:r>
    </w:p>
    <w:p>
      <w:r>
        <w:t>Bei diesem Ausgang des Verfahrens wird der unterliegende Beschwerdegegner kosten- und entschädigungspflichtig (Art. 63 Abs. 1 und 64 Abs. 1 VwVG). Die Gerichtsgebühr ist nach Umfang der Streitsache, Art der Prozessführung und finanzieller Lage der Parteien festzulegen (Art. 63 Abs. 4bis VwVG, Art. 2 Abs. 1 des Reglements über die Kosten und Entschädigungen vor dem Bundesverwaltungsgericht vom 11. Dezember 2006 [VGKE, SR 173.320.2]). Im Beschwerdeverfahren vor dem Bundesverwaltungsgericht ist dafür ein Streitwert zu veranschlagen (Art. 4 VGKE), wofür bei eher unbedeutenden Zeichen ein Streitwert zwischen Fr. 50'000.- und Fr. 100'000.- angenommen werden darf (BGE 133 III 492 E. 3.3 mit Hinweisen Turbinenfuss). Von diesem Erfahrungswert ist auch im vorliegenden Verfahren auszugehen. Angesichts des erheblichen Aufwands für die Sistierung und Aufrechterhaltung der Sistierung der Beschwerde erscheint die von der Beschwerdeführerin geltend gemachte Parteientschädigung von Fr. 4'000.- für das Beschwerdeverfahren angemessen. Die Bemessung der Entschädigung für das bisherige vorinstanzliche Verfahren ist zusammen mit dem Entscheid in der Hauptsache der Vorinstanz zu überlassen.</w:t>
      </w:r>
    </w:p>
    <w:p>
      <w:r>
        <w:rPr>
          <w:b/>
        </w:rPr>
        <w:t>E. 6</w:t>
      </w:r>
    </w:p>
    <w:p>
      <w:r>
        <w:t>Dieser Entscheid kann nicht mit Beschwerde ans Bundesgericht angefochten werden und ist daher rechtskräftig (Art. 73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