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B-7420/2006 vom 10. Dezember 2007</w:t>
      </w:r>
    </w:p>
    <w:p>
      <w:r>
        <w:t>Bundesverwaltungsgericht, 2007-12-10, DE</w:t>
      </w:r>
    </w:p>
    <w:p>
      <w:r>
        <w:rPr>
          <w:b/>
        </w:rPr>
        <w:t xml:space="preserve">Quelle: </w:t>
      </w:r>
      <w:r>
        <w:t>https://mcp.opencaselaw.ch/entscheid/bvger_B-7420_2006</w:t>
      </w:r>
    </w:p>
    <w:p>
      <w:r>
        <w:t>FR: TAF B-7420/2006 du 10 décembre 2007</w:t>
      </w:r>
    </w:p>
    <w:p>
      <w:r>
        <w:t>IT: TAF B-7420/2006 del 10 dicembre 2007</w:t>
      </w:r>
    </w:p>
    <w:p>
      <w:pPr>
        <w:pStyle w:val="Heading2"/>
      </w:pPr>
      <w:r>
        <w:t>Regeste</w:t>
      </w:r>
    </w:p>
    <w:p>
      <w:r>
        <w:t>Absolute Ausschlussgründe</w:t>
      </w:r>
    </w:p>
    <w:p>
      <w:pPr>
        <w:pStyle w:val="Heading2"/>
      </w:pPr>
      <w:r>
        <w:t>Erwägungen</w:t>
      </w:r>
    </w:p>
    <w:p>
      <w:r>
        <w:rPr>
          <w:b/>
        </w:rPr>
        <w:t>E. 1.1</w:t>
      </w:r>
    </w:p>
    <w:p>
      <w:r>
        <w:t>Der angefochtene Entscheid vom 20. September 2006 stellt eine Verfügung im Sinne von Art. 5 Abs. 1 Bst. c des Bundesgesetzes vom 20. Dezember 1968 über das Verwaltungsverfahren (VwVG, SR 172.021) dar. Diese Verfügung war bei der Eidgenössischen Rekurskommission für geistiges Eigentum angefochten, welche vor dem Inkrafttreten des Bundesgesetzes vom 17. Juni 2005 über das Bundesverwaltungsgericht (VGG, SR 173.32) am 1. Januar 2007 (vgl. AS 2006 1069) zur Beurteilung der Streitsache zuständig war. Das Bundesverwaltungsgericht, das gemäss Art. 31 VGG als Beschwerdeinstanz Beschwerden gegen Verfügungen nach Art. 5 VwVG beurteilt, ist nach Art. 53 Abs. 2 VGG (i.V.m. Art. 33 Bst. e VGG) für die Behandlung der vorliegenden Streitsache zuständig, zumal keine Ausnahme nach Art. 32 VGG vorliegt.</w:t>
      </w:r>
    </w:p>
    <w:p>
      <w:r>
        <w:rPr>
          <w:b/>
        </w:rPr>
        <w:t>E. 1.2</w:t>
      </w:r>
    </w:p>
    <w:p>
      <w:r>
        <w:t>Die Beschwerdeführerin, welche am Verfahren vor der Vorinstanz teilgenommen hat, ist durch die angefochtene Verfügung besonders berührt. Sie hat ein als schutzwürdig anzuerkennendes Interesse an deren Aufhebung oder Änderung, weshalb sie zur Beschwerde legitimiert ist (Art. 48 Abs. 1 VwVG). Eingabefrist und -form sind gewahrt (Art. 50 und 52 Abs. 1 VwVG), der Kostenvorschuss wurde fristgemäss bezahlt (Art. 63 Abs. 4 VwVG), und die übrigen Sachurteilsvoraussetzungen liegen vor (vgl. Art. 46 ff. VwVG). Auf die Beschwerde ist daher einzutreten.</w:t>
      </w:r>
    </w:p>
    <w:p>
      <w:r>
        <w:rPr>
          <w:b/>
        </w:rPr>
        <w:t>E. 2.1</w:t>
      </w:r>
    </w:p>
    <w:p>
      <w:r>
        <w:t>Nach der Legaldefinition von Art. 1 Abs. 1 des Markenschutzgesetzes vom 28. August 1992 (MSchG, SR 232.11) ist die Marke ein Zeichen, das geeignet ist, Waren oder Dienstleistungen eines Unternehmens von solchen anderer Unternehmen zu unterscheiden. Insofern dient die Marke dem Zweck, die gekennzeichneten Waren oder Dienstleistungen zu individualisieren und von anderen Gütern zu unterscheiden, um die Verbraucher in die Lage zu versetzen, ein einmal geschätztes Produkt (oder eine Dienstleistung) in der Menge des Angebots wiederzufinden (vgl. BGE 129 III 514 E. 2.2 LEGO). Darüberhinaus bezweckt die Marke als Herkunftsmerkmal in unmissverständlicher Weise auf den Hersteller und seinen Betrieb (bzw. den Dienstleistungserbringer) hinzuweisen (vgl. BGE 128 III 454 E. 2 YUKON).</w:t>
      </w:r>
    </w:p>
    <w:p>
      <w:r>
        <w:rPr>
          <w:b/>
        </w:rPr>
        <w:t>E. 2.2</w:t>
      </w:r>
    </w:p>
    <w:p>
      <w:r>
        <w:t>Nach Art. 2 Bst. a MSchG sind Zeichen des Gemeinguts, die sich als Marken für die beanspruchten Waren oder Dienstleistungen nicht durchgesetzt haben, vom Markenschutz ausgeschlossen. Schutzunfähig sind solche Zeichen, entweder weil sie im Alltagsleben unentbehrlich sind und daher als freihaltebedürftig nicht monopolisiert werden dürfen oder weil sie nicht hinreichend unterscheidungskräftig sind (vgl. Urteil des Bundesgerichts 4A.13/1995 vom 20. August 1996 E. 4a ELLE, veröffentlicht in sic! 1997, S. 159 mit Hinweis auf BGE 118 II 181 E. 3 DUO). Zum Gemeingut gehören nach der Rechtsprechung namentlich Zeichen, die sich in Angaben über die Beschaffenheit der gekennzeichneten Waren oder Dienstleistungen erschöpfen und daher die zu deren Identifikation erforderliche Kennzeichnungs- und Unterscheidungskraft nicht aufweisen. Dies ist insbesondere der Fall, wenn Zeichen die Art, Zusammensetzung, Qualität, Quantität, Bestimmung, den Gebrauchszweck, Wert, Ursprungsort oder die Herstellungszeit der Waren angeben, auf die sie sich beziehen. Der beschreibende Charakter solcher Hinweise muss von den angesprochenen Abnehmerkreisen dieser Waren und Dienstleistungen ohne besondere Denkarbeit und ohne Fantasieaufwand unmittelbar erkannt werden können (Urteil des Bundesgerichts 4C.439/2006 vom 4. April 2007 E. 5.1 EUROJOBS mit Verweis auf BGE 131 III 495 E. 5 FELSENKELLER und BGE 128 III 447 E. 1.5 PREMIERE).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 des Bundesgerichts 4C.439/2006 vom 4. April 2007 E. 5.1 EUROJOBS mit Verweis auf: BGE 108 II 487 E. 3 VANTAGE, BGE 104 Ib 65 E. 2 OISTER FOAM, BGE 103 II 339 E. 4c MORE, Urteil des Bundesgerichts 4A.5/2003 vom 22. Dezember 2003 E. 3.1 DISCOVERY TRAVEL &amp; ADVENTURE CHANNEL, veröffentlicht in sic! 2004, S. 400).</w:t>
      </w:r>
    </w:p>
    <w:p>
      <w:r>
        <w:rPr>
          <w:b/>
        </w:rPr>
        <w:t>E. 2.3</w:t>
      </w:r>
    </w:p>
    <w:p>
      <w:r>
        <w:t>Ob ein Zeichen markenrechtlichen Schutz beanspruchen kann oder als beschreibend zurückgewiesen werden muss, bestimmt sich immer auf Grund der konkret beanspruchten Waren und/oder Dienstleistungen (Urteil des Bundesverwaltungsgerichts B-7405/2006 vom 21. September 2007 E. 5 MOBILITY mit Kritik an den Richtlinien des IGE in Markensachen [Bern 2007] Ziff. 4.3.1 S. 64 bzw. Ziff. 4.4.3 S. 71; Christoph Willi, in: Markenschutzgesetz, Kommentar zum schweizerischen Markenrecht unter Berücksichtigung des europäischen und internationalen Markenrechts, Zürich 2002, Art. 2 N. 21; Eugen Marbach, Markenrecht, in: Schweizerisches Immaterialgüter- und Wettbewerbsrecht, Bd. III, Kennzeichenrecht, Basel 1996, S. 29). Soweit ein Zeichen im Zusammenhang mit bestimmten Waren oder Dienstleistungen insbesondere gestützt auf Internetrecherchen (z.B. mit der Suchmaschine "Google") als "allgemein üblich" und daher als schutzunfähig gewertet werden soll, verlangt das Bundesverwaltungsgericht eine besonders sorgfältige Analyse allfälliger Internettreffer (Urteil des Bundesverwaltungsgerichts B-7405/2006 vom 21. September 2007 E. 6.4 MOBILITY mit dem Hinweis, dass von einer abstrakten Google-Gesamttrefferzahl kaum je auf eine "allgemein übliche" Zeichenverwendung geschlossen werden dürfe).</w:t>
      </w:r>
    </w:p>
    <w:p>
      <w:r>
        <w:rPr>
          <w:b/>
        </w:rPr>
        <w:t>E. 2.4</w:t>
      </w:r>
    </w:p>
    <w:p>
      <w:r>
        <w:t>Nach der bundesgerichtlichen Rechtsprechung sind im Bereich der Zeichen des Gemeinguts Grenzfälle einzutragen und ist die endgültige Entscheidung dem Zivilrichter zu überlassen (BGE 130 III 328 E. 3.2 mit Verweis auf BGE 103 Ib 268 E. 3b a.E. RED &amp; WHITE und BGE 129 III 225 E. 5.3 MASTERPIECE).</w:t>
      </w:r>
    </w:p>
    <w:p>
      <w:r>
        <w:rPr>
          <w:b/>
        </w:rPr>
        <w:t>E. 3</w:t>
      </w:r>
    </w:p>
    <w:p>
      <w:r>
        <w:t>In einem ersten Schritt ist zu prüfen, welche Verkehrskreise von der angemeldeten Marke angesprochen werden (vgl. Eugen Marbach, Die Verkehrskreise im Markenrecht, sic! 2007, S. 3 ff.).</w:t>
      </w:r>
    </w:p>
    <w:p>
      <w:r>
        <w:rPr>
          <w:b/>
        </w:rPr>
        <w:t>E. 3.1</w:t>
      </w:r>
    </w:p>
    <w:p>
      <w:r>
        <w:t>In der angefochtenen Verfügung beschränkt sich die Vorinstanz auf die Feststellung, dass der schweizerische Abnehmer - "in casu der Durchschnittskonsument als auch der Spezialist (je nach beanspruchtem Bereich)" - ohne Gedankenarbeit verstehe, dass -:- "- alle Waren der Klasse 9 an einem Arbeitsplatz (im allgemeinen Sinne) Verwendung finden und einige Waren sogar spezifisch für den Arbeitsplatz (im beruflichen Sinne) konzipiert worden sind (z.B. Arbeitsplatzrechner (Workstations), Computersoftware, Telefonstationen und -anlagen, Fotokopierer, Büromaschinen soweit in Klasse 9 enthalten und ihre Komponenten) - einige Waren der Klasse 16 den Arbeitsplatz (im allgemeinen als auch im beruflichen Sinne) als Inhalt/Thema haben (Druckereierzeugnisse; Fotografien, Lehr- und Unterrichtsmittel (ausgenommen Apparate); Publikationen, Handschriften, Zeichnungen, Drucksachen, Zeitschriften, Bücher, Journale; Unterrichtsmittel auf Papier, Pappe; Manuale, Broschüren, Handbücher, Dokumentation, Serienveröffentlichungen, gedruckte Anleitungen, Präsentationsmaterialien (Drucksachen), insbesondere für Computerhardware und Computersoftware; alle vorgenannten Waren insbesondere im Zusammenhang mit den in Klasse 9 beanspruchten Waren und den in den Klassen 38 und 42 beanspruchten Dienstleistungen stehend; Eintrittskarten und -billette) oder an einem Arbeitsplatz (im allgemeinen Sinne) verwendet werden können (Papier, Pappe (Karton) und Waren aus diesen Materialien, soweit sie in dieser Klasse enthalten sind; Buchbinderartikel; Schreibwaren, Klebstoffe für Papier- und Schreibwaren oder für Haushaltszwecke; Künstlerbedarfsartikel; Pinsel, Schreibmaschinen, Papierzerkleinerer (Shredder), Aktenvernichter und Büroartikel (ausgenommen Möbel); Verpackungsmaterial aus Kunststoff, soweit in Klasse 16 enthalten; Drucklettern; Druckstöcke; alle vorgenannten Waren insbesondere im Zusammenhang mit den in Klasse 9 beanspruchten Waren und den in den Klassen 38 und 42 beanspruchten Dienstleistungen stehend) - einige Waren der Klasse 28 den Arbeitsplatz (im allgemeinen als auch im beruflichen Sinne) als Inhalt/Thema haben (Spiele, Spielzeug, Spielkarten; elektronische Spiele und Spielzeuge, elektronische Hardware oder Software als Komponenten der vorgenannten Spiele und Spielzeuge, und deren Ersatzteile) oder an einem Arbeitsplatz (im allgemeinen Sinne) verwendet werden können (Turn- und Sportartikel, soweit sie nicht in anderen Klassen enthalten sind; Christbaumschmuck) - alle Dienstleistungen der Klasse 35 an einem Arbeitsplatz (im allgemeinen Sinne) erbracht werden und einige Dienstleistungen sogar spezifisch für einen Arbeitsplatz (im beruflichen Sinne) erbracht werden (z.B. Personalwerbung und -rekrutierung, Personalvermittlung, Stellenausschreibung) - alle Dienstleistungen der Klasse 36 an einem Arbeitsplatz (im allgemeinen Sinne) erbracht werden - alle Dienstleistungen der Klasse 37 an einem Arbeitsplatz (im allgemeinen Sinne) erbracht werden und eingige Dienstleistungen sogar spezifisch für einen Arbeitsplatz (im beruflichen Sinne) erbracht werden (z.B. Installation von Computerhardware, Netzwerkanlagen, Computeranlagen für den Zugang zum Internet) - alle Dienstleistungen der Klasse 38 an einem Arbeitsplatz (im allgemeinen Sinne) erbracht werden - alle Dienstleistungen der Klasse 41 an einem Arbeitsplatz (im allgemeinen Sinne) erbracht werden, einige Dienstleistungen sogar spezifisch für einen Arbeitsplatz (im beruflichen Sinne) erbracht werden (z.B. technische Demonstrationen zu Ausbildungszwecken) und einige Dienstleistungen den Arbeitsplatz (im allgemeinen und beruflichen Sinne) als Inhalt/Thema aufweisen (z.B. Zusammenstellung von Fernsehsendungen oder Radiosendungen, Herausgabe von Büchern, Zeitungen, Zeitschriften (ausgenommen Werbetexte)) - alle Dienstleistungen der Klasse 42 an einem Arbeitsplatz (im allgemeinen Sinne) erbracht werden und einige Dienstleistungen sogar spezifisch für einen Arbeitsplatz (im beruflichen Sinne) erbracht werden (Erstellen von Computerprogrammen, Installation von Computersoftware) - alle Dienstleistungen der Klasse 43 an einem Arbeitsplatz (im allgemeinen Sinne) erbracht werden und einige Dienstleistungen sogar spezifisch für einen Arbeitsplatz (im beruflichen Sinne) erbracht werden (Verpflegung) - alle Dienstleistungen der Klasse 44 an einem Arbeitsplatz (im allgemeinen Sinne) erbracht werden."</w:t>
      </w:r>
    </w:p>
    <w:p>
      <w:r>
        <w:rPr>
          <w:b/>
        </w:rPr>
        <w:t>E. 3.2</w:t>
      </w:r>
    </w:p>
    <w:p>
      <w:r>
        <w:t>Wie die Beschwerdeführerin im Ergebnis zu Recht beanstandet, vermag das methodische Vorgehen der Vorinstanz bei dieser Behandlung und Beurteilung des Falles nicht zu überzeugen. Insbesondere erweisen sich die aus einer lückenhaften Sachverhaltswürdigung gezogenen Schlüsse als fragwürdig:</w:t>
      </w:r>
    </w:p>
    <w:p>
      <w:r>
        <w:rPr>
          <w:b/>
        </w:rPr>
        <w:t>E. 3.2.1</w:t>
      </w:r>
    </w:p>
    <w:p>
      <w:r>
        <w:t>Der Vorinstanz ist zwar zuzustimmen, dass WORKPLACE hierzulande von den angesprochenen Abnehmerkreisen - (welche sie nur grob umschrieben hat, vgl. E. 3.1) - als festgefügter Begriff des englischen Grundwortschatzes ohne Weiteres als Bezeichnung für "Arbeitsplatz" verstanden wird, das heisst primär als Bezeichnung eines Ortes, an welchem (vorab entgeltliche) "Arbeit" verrichtet wird. Dies im Unterschied zu Örtlichkeiten, wo nicht im erwähnten Sinne "gearbeitet" wird, wie z.B. während der Freizeit bzw. in den Ferien. Zur Illustrierung zählt die Vorinstanz Orte möglicher "Produktanwendung" bzw. "Dienstleistungserbringung" auf, wie "Büro, Buchbinderei, Atelier, Druckerei, Industrie, Labor, Schiff, Krankenhaus, Ausbildungsstätten, Restaurant, Bank, Baustelle, Gärtnerei (etc.)". Da WORKPLACE primär ein räumlich-konkretes Verständnis bewirkt, wird die von der Vorinstanz erwähnte, übertragene Bedeutung von WORKPLACE im Sinne von "Job" ["Arbeitsstelle"] wohl kaum im Vordergrund stehen. Jener Sinngehalt wird im Englischen üblicherweise mit den allgemein bekannten Alltagsbegriffen "job" oder "position" wiedergegeben.</w:t>
      </w:r>
    </w:p>
    <w:p>
      <w:r>
        <w:rPr>
          <w:b/>
        </w:rPr>
        <w:t>E. 3.2.2</w:t>
      </w:r>
    </w:p>
    <w:p>
      <w:r>
        <w:t>Um indessen beurteilen zu können, ob dem Zeichen WORKPLACE für die beanspruchten Waren und Dienstleistungen ein "ohne besonderer Fantasieaufwand erkennbarer", beschreibender Charakter zukommt, muss zunächst in tatsächlicher Hinsicht die Natur der beanspruchten Waren ("Was ist ein Demultiplexer, was ein optisches Modul?") und Dienstleistungen ("Was umfasst die Dienstleistung 'Zurverfügungstellen von Plauderräumen [chat-rooms] zur Übermittlung von Nachrichten unter Computerbenutzern'?") bestimmt und mit Blick auf diese Güter der angesprochene Verkehrskreis definiert werden, der diese nachfragt und eine Erwartungshaltung mit bestimmten Vorstellungen einnimmt. Erst wenn in sachverhaltlicher Hinsicht Klarheit über das Objekt der Nachfrage und den jeweils angesprochenen Abnehmerkreis herrscht, kann als Rechtsfrage geprüft werden, welche Vorstellungen der jeweilige Verkehrskreis mit den einzelnen Waren- und Dienstleistungen verbindet, bzw. welches Angebot dieser jeweils erwartet bzw. versteht. Hierbei sind drei Konstellationen zu unterscheiden: - -:- - -:- - Erstens kann der angesprochene Verkehrskreis WORKPLACE unmittelbar als Gegenstand verstehen, weil die Ware bzw. Dienstleistung für ihn ein Arbeitsplatz ist und WORKPLACE insofern den Gegenstand direkt beschreibt (denkbar z.B. bei bestimmten Möbeln oder Fahrzeugen, welche naturgemäss einen "Arbeitsplatz" darstellen, bzw. bei der "Vermietung von Arbeitsräumen" oder beim "Betrieb einer geschützten Werkstätte", wo die Kennzeichnung der Dienstleistung deren "Gegenstand" bzw. deren Inhalt gleichsam abbildet). - Zweitens ist denkbar, dass der angesprochene Verkehrskreis WORKPLACE unmittelbar als die Bestimmung (d.h. die Funktion, den Einsatz- bzw. Verwendungszweck) der Ware oder Dienstleistung auffasst, weil diese für den Arbeitsplatz bestimmt und für diesen erfolgsrelevant ist. - Drittens ist auch möglich, dass der angesprochene Verkehrskreis WORKPLACE als Bezeichnung der Herkunft der beanspruchten Waren und Dienstleistungen versteht, also dass die Ware bzw. Dienstleistung von einem Arbeitsplatz "herkommt", von dort stammt.</w:t>
      </w:r>
    </w:p>
    <w:p>
      <w:r>
        <w:rPr>
          <w:b/>
        </w:rPr>
        <w:t>E. 3.2.3</w:t>
      </w:r>
    </w:p>
    <w:p>
      <w:r>
        <w:t>Der angefochtenen Verfügung lässt sich die für eine rechtlich überzeugende Subsumption notwendige Unterscheidung dieser drei semantischen Prüfgruppen nicht entnehmen. Zudem fehlen Ausführungen, die erkennen lassen, dass sich die Vorinstanz über die in Erwägung 3.2.2 erwähnten tatsächlichen Vorfragen in hinreichendem Masse Rechenschaft gegeben hat, weil sie die spezifische Natur der einzelnen Waren und Dienstleistungen sorgfältig auseinandergehalten und den jeweils betroffenen Verkehrskreis, der solche Güter nachfragt, auch sorgfältig definiert hat. Insbesondere ist zu bemerken:</w:t>
      </w:r>
    </w:p>
    <w:p>
      <w:r>
        <w:rPr>
          <w:b/>
        </w:rPr>
        <w:t>E. 3.2.3.1</w:t>
      </w:r>
    </w:p>
    <w:p>
      <w:r>
        <w:t>Soweit der jeweils angesprochene Verkehrskreis unter dem Markenwort WORKPLACE unmittelbar den Gegenstand versteht, hätte sich die Vorinstanz darüber Rechenschaft geben müssen, ob die entsprechenden Waren, welche diese Objektvorstellung erfüllen, tatsächlich gegenüber diesem Verkehrskreis vertrieben werden oder ob Anzeichen bestehen, dass dieser zumindest ein solches Angebot erwartet bzw. versteht.</w:t>
      </w:r>
    </w:p>
    <w:p>
      <w:r>
        <w:rPr>
          <w:b/>
        </w:rPr>
        <w:t>E. 3.2.3.2</w:t>
      </w:r>
    </w:p>
    <w:p>
      <w:r>
        <w:t>Soweit der angesprochene Verkehrskreis WORKPLACE unmittelbar als die Bestimmung (Funktion, Einsatz- bzw. Verwendungszweck) der jeweiligen Waren und Dienstleistungen versteht, wäre auch zu klären gewesen, welches die typische oder häufigste oder zumindest an einem Arbeitsplatz denkbare, naheliegende Bestimmung dieser Güter und ihre Relevanz für die an einem Arbeitsplatz verrichtete Arbeit sei, indem die Ware oder Dienstleistung die Arbeit dort gezielt verbessert bzw. unterstützt; denn nur weil ein Apfel an einem Arbeitsplatz gegessen werden kann, ist WORKPLACE für Äpfel ebensowenig beschreibend, wie Spielkarten oder Christbaumschmuck (beides Warengruppen, bei denen die Vorinstanz dem Zeichen WORKPLACE einen beschreibenden Charakter zuzuschreiben scheint). In diesem Zusammenhang hätte sich auch die Anschlussfrage gestellt, ob entsprechende Waren bzw. Dienstleistungen, welche diese Bestimmung erfüllen, tatsächlich gegenüber diesem Verkehrskreis vertrieben werden oder Anzeichen dafür bestehen, dass dieser zumindest ein solches Angebot erwartet bzw. versteht. In diesem Zusammenhang ist anzumerken, dass - soweit eine Kennzeichnung von Waren- und Dienstleistungen mit dem Zeichen WORKPLACE weder den konkreten Gegenstand bzw. Einsatzzweck (Bestimmung) noch sonstige den Waren (bzw. Dienstleistungen) inhärente Eigenschaften (wie Beschaffenheit, Ausstattung, Wirkungsweise) direkt beschreibt - WORKPLACE zumindest als Grenzfall schutzfähig zu erachten wäre. Ein Grenzfall wäre insbesondere anzunehmen, wenn WORKPLACE im Zusammenhang mit Waren und Dienstleistungen nur eine generelle Eignung ("für den Arbeitsplatz") erkennen lässt.</w:t>
      </w:r>
    </w:p>
    <w:p>
      <w:r>
        <w:rPr>
          <w:b/>
        </w:rPr>
        <w:t>E. 3.2.3.3</w:t>
      </w:r>
    </w:p>
    <w:p>
      <w:r>
        <w:t>Soweit schliesslich der angesprochene Verkehrskreis unter WORKPLACE unmittelbar die Herkunft der beanspruchten Waren und Dienstleistungen versteht, wäre zu fragen gewesen, ob sich dieser "Herkunfts"-Arbeitsplatz durch seine Ausrüstung, seinen Ort, durch die allgemeine Geltung oder durch die Art und Weise der daran geleisteten Arbeit von anderen, "gewöhnlichen" Arbeitsplätzen unterscheidet. Als Anschlussfrage wäre auch hier zu erwägen gewesen, ob entsprechende Waren bzw. Dienstleistungen, welche eine solche Herkunft haben, tatsächlich gegenüber diesem Verkehrskreis vertrieben werden, oder Anzeichen dafür bestehen, dass dieser zumindest ein solches Angebot erwartet bzw. versteht. Insbesondere im Zusammenhang mit der herkunftsbezogenen Bedeutung, welche bei gewissen Waren oder Dienstleistungen unter Umständen im Vordergrund stehen könnte, wäre festzuhalten, dass diesfalls WORKPLACE als zu unbestimmt gelten müsste und daher als ebenso zulässig zu erachten wäre wie die Marke SWISSLINE (Urteil des Bundesgerichts 4A.6/1998 vom 10. September 1998, veröffentlicht in sic! 1999, S. 29) oder CAMPUS (Urteil des Bundesgerichts 4C.3/1999 vom 18. Januar 2000, veröffentlicht in sic! 2000, S. 194) oder PROTEOMASTER (Entscheid der RKGE MA-AA 12/06 vom 26. September 2006, veröffentlicht in sic! 2007, S. 445). Der Umstand allein, dass insbesondere Dienstleistungen an einem Arbeitsplatz erbracht werden, bedeutet nicht, dass für alle jeweils massgeblichen Verkehrskreise ein beschreibender Charakter des Zeichens WORKPLACE unmittelbar erkennbar wird, zumal alle Dienstleistungen an einem "Arbeitsplatz" erbracht werden und dieser Gedankenbezug wegen der Banalität des Sachverhaltes unter Umständen nicht ohne besonderen Fantasieaufwand hergestellt wird. Insofern wäre auch die Rechtsprechung der Rekurskommission kritisch zu hinterfragen, wonach Bezeichnungen, welche eine direkte Aussage über den Ort enthalten, wo beanspruchte Dienstleistungen erbracht werden ("Dienstleistungserbringungsort"), generell nicht geeignet seien, die entsprechend gekennzeichneten Dienstleistungen zu individualisieren (Entscheid der RKGE MA-AA 32/02 vom 10. Dezember 2003 E. 4 SWISS BUSINESS HUB, veröffentlicht in sic! 2004, S. 573).</w:t>
      </w:r>
    </w:p>
    <w:p>
      <w:r>
        <w:rPr>
          <w:b/>
        </w:rPr>
        <w:t>E. 3.2.3.4</w:t>
      </w:r>
    </w:p>
    <w:p>
      <w:r>
        <w:t>Entgegen den summarischen Darlegungen der Vorinstanz ist des Weiteren fraglich, ob WORKPLACE - wenn es zur Kennzeichnung von typischerweise nur für die Freizeit (als "Nicht-Arbeitszeit") bestimmten Waren (bzw. für Dienstleistungen mit engem Bezug zur Freizeit- und Vergnügungsindustrie) verwendet wird - eine (ohne besonderen Fantasieaufwand erkennbare) beschreibende Bedeutung haben kann. Zu fragen wäre, inwiefern die zu identifizierenden Abnehmerkreise bei mit WORKPLACE gekennzeichneten Spielen, Spielzeugen, Turn- und Sportartikel, Christbaumschmuck, Spielkarten, elektronischen Spielen/Spielzeugen einen direkt warenbeschreibenden Bezug zum Arbeitsplatz erkennen werden, auch wenn - freilich als Ausnahmeerscheinung - Arbeitsplätze bestehen, wo Spiele neben der Arbeit (zur Zerstreuung) geduldet oder für die Arbeit benötigt werden (wie z.B. beim Schulpsychologen).</w:t>
      </w:r>
    </w:p>
    <w:p>
      <w:r>
        <w:rPr>
          <w:b/>
        </w:rPr>
        <w:t>E. 3.2.4</w:t>
      </w:r>
    </w:p>
    <w:p>
      <w:r>
        <w:t>Schliesslich ist festzuhalten, dass die von der Vorinstanz als Beweis angeführten Internetrecherchen nicht überzeugend belegen, dass die beanspruchten Waren und Dienstleistungen "üblicherweise" unter dem Begriff "workplace" angeboten werden und dieser Begriff zur Beschreibung solcher Güter in einer signifikant hohen Zahl gebraucht würde oder gar unentbehrlich wäre (vgl. E. 2.3 mit Hinweisen auf die Rechtsprechung des Bundesverwaltungsgerichts zu Internetrecherchen).</w:t>
      </w:r>
    </w:p>
    <w:p>
      <w:r>
        <w:rPr>
          <w:b/>
        </w:rPr>
        <w:t>E. 3.3</w:t>
      </w:r>
    </w:p>
    <w:p>
      <w:r>
        <w:t>Zusammenfassend ergibt sich, dass in der angefochtenen Verfügung die soeben dargelegten Überlegungen nicht hinreichend berücksichtigt werden, was dazu führt, dass dem Zeichen WORKPLACE ohne sachverhaltlich abgestützte Differenzierung pauschal für sämtliche beanspruchten Waren und Dienstleistungen jegliche Unterscheidungskraft abgesprochen wird. Insofern ist diese Verfügung, wie die Beschwerdeführerin zu Recht rügt, sachlich unhaltbar und aufzuheben.</w:t>
      </w:r>
    </w:p>
    <w:p>
      <w:r>
        <w:rPr>
          <w:b/>
        </w:rPr>
        <w:t>E. 4</w:t>
      </w:r>
    </w:p>
    <w:p>
      <w:r>
        <w:t>Nach Art. 61 Abs. 1 VwVG entscheidet die Beschwerdeinstanz in der Sache selbst oder weist diese ausnahmsweise mit verbindlichen Weisungen an die Vorinstanz zurück.</w:t>
      </w:r>
    </w:p>
    <w:p>
      <w:r>
        <w:rPr>
          <w:b/>
        </w:rPr>
        <w:t>E. 4.1</w:t>
      </w:r>
    </w:p>
    <w:p>
      <w:r>
        <w:t>Ein Rückweisungsentscheid rechtfertigt sich vor allem, wenn weitere Tatsachen festgestellt werden müssen und ein umfassendes Beweisverfahren durchzuführen ist. Zu einer Rückweisung kommt es zudem immer dann, wenn die Vorinstanz einen Nichteintretensentscheid gefällt und folglich keine materielle Prüfung vorgenommen hat (Urteil des Bundesverwaltungsgerichts A-1362/2006 vom 30. Mai 2007 E. 1.3 mit Hinweisen auf die herrschende Meinung; vgl. für den Bereich des Markenrechts: Entscheide der RKGE MA-WI 63/04 vom 8. September 2005 E. 5, veröffentlicht in sic! 2005, S. 887; MA-WI 19/98 vom 30. Mai 2000 E. 7, veröffentlicht in sic! 2000, S. 380; MA-WI 27/98 vom 2. November 1999 E. 8, veröffentlicht in sic! 2000, S. 111, MA-AA 06/95 vom 30. Januar 1997 E. 4, veröffentlicht in sic! 1997, S. 161). Grundsätzlich hat das Bundesverwaltungsgericht - soweit dies möglich und geboten erscheint - die Entscheidungsreife selber herbeizuführen, zumal das Verfahrensrecht nicht Selbstzweck ist, sondern einzig der Verwirklichung des materiellen Rechts dient (vgl. Hansjörg Seiler, Abschied von der formellen Natur des rechtlichen Gehörs, Schweizerische Juristenzeitung [SJZ] 100 [2004], S. 381). Daher lässt die Rechtsprechung im Kontext von Art. 61 Abs. 1 VwVG die Rückweisung nicht voraussetzungslos zu. Gemäss Bundesgericht steht im Verhältnis zwischen Gerichten und Verwaltung dem rückweisenden Gericht bei der Beantwortung der Frage, ob es selber die nötigen Instruktionen vornehmen oder die Akten zur weiteren Abklärung an die Verwaltung zurückweisen will, ein weiter Ermessensspielraum zu (BGE 131 V 407 E. 2.1.1). Indes darf eine Rückweisung an die Verwaltung nicht einer Verweigerung des gerichtlichen Rechtsschutzes gleichkommen, was etwa dann der Fall ist, wenn wegen besonderer Gegebenheiten nur ein Gerichtsgutachten oder andere gerichtliche Beweismassnahmen geeignet sind, zur Abklärung des Sachverhalts beizutragen. Unzulässig ist die Rückweisung auch, wenn sie nach den Umständen als unverhältnismässig erscheint. Liegen jedoch sachliche Gründe vor, ist eine Rückweisung mit dem Untersuchungsgrundsatz vereinbar (vgl. BGE 131 V 407 E. 2.1.1).</w:t>
      </w:r>
    </w:p>
    <w:p>
      <w:r>
        <w:rPr>
          <w:b/>
        </w:rPr>
        <w:t>E. 4.2</w:t>
      </w:r>
    </w:p>
    <w:p>
      <w:r>
        <w:t>Im vorliegenden Fall hat sich das Bundesverwaltungsgericht einer funktionell gebotenen Zurückhaltung zu befleissigen, da die Vorinstanz die Streitsache nicht mit hinreichender Sorgfalt abgeklärt, ohne genügenden Sachverhaltsbezug die Unterscheidungskraft von WORKPLACE in pauschaler Weise für alle beanspruchten Waren und Dienstleistungen verneint und zudem darauf verzichtet, den jeweils massgeblichen Verkehrskreis und dessen Verständnis in Bezug auf die einzelnen Waren und Dienstleistungen zu analysieren (vgl. E. 3.2.2 f.). In solchen Fällen ist vom Bundesverwaltungsgericht kein reformatorischer Entscheid zu erwarten. Vielmehr liegen sachliche Gründe für eine Rückweisung vor, welche die prozessökonomischen Gesichtspunkte in den Hintergrund drängen. Insbesondere erweist sich die hier auszusprechende Rückweisung als verhältnismässig, weil sie erforderlich und geeignet ist, der Vorinstanz im Rahmen der in Erwägung 3.2 dargelegten Entscheidkriterien eine sorgfältige Sachverhaltsermittlung und sachgerechte Beurteilung der Streitsache nahezulegen (vgl. auch: Entscheid der REKO/WEF FB/2003-4 vom 9. Juni 2005 E. 6.3.3, veröffentlicht in Recht und Politik des Wettbewerbs [RPW] 2005/3, S. 530).</w:t>
      </w:r>
    </w:p>
    <w:p>
      <w:r>
        <w:rPr>
          <w:b/>
        </w:rPr>
        <w:t>E. 5</w:t>
      </w:r>
    </w:p>
    <w:p>
      <w:r>
        <w:t>Nach dem Gesagten ist die Beschwerde teilweise gutzuheissen und die Sache an die Vorinstanz zurückzuweisen zu neuem Entscheid im Sinne der Erwägungen. Die Vorinstanz wird im Lichte der dargelegten Kriterien die tatsächlichen Verhältnisse erheben und die Unterscheidungskraft von WORKPLACE in Bezug auf die einzelnen beanspruchten Waren und Dienstleistungen eingehend beurteilen. Den von der Vorinstanz neuzuformulierenden Verfügungsentwurf wird sie zur Wahrung des rechtlichen Gehörs der Beschwerdeführerin zur Stellungnahme zu unterbreiten haben (Art. 29 f. VwVG).</w:t>
      </w:r>
    </w:p>
    <w:p>
      <w:r>
        <w:rPr>
          <w:b/>
        </w:rPr>
        <w:t>E. 6</w:t>
      </w:r>
    </w:p>
    <w:p>
      <w:r>
        <w:t>Angesichts der besonderen Umständen der Streitsache sind bei diesem Verfahrensausgang weder der hauptsächlich obsiegenden Beschwerdeführerin noch der Vorinstanz Verfahrenskosten aufzuerlegen (Art. 63 Abs. 2 VwVG i.V.m. Art. 6 Bst. b des Reglements vom 11. Dezember 2006 über die Kosten und Entschädigungen vor dem Bundesverwaltungsgericht, VGKE, SR 173.320.2). Der Kostenvorschuss in der Höhe von Fr. 2'500.- ist der Beschwerdeführerin nach Rechtskraft dieses Urteils zurückzuerstatten. Die Beschwerdeführerin, welche nicht anwaltlich vertreten war, macht keine Parteientschädigung geltend. Eine solche ist ihr nicht zuzusprechen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