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B-7415/2006 vom 15. März 2007</w:t>
      </w:r>
    </w:p>
    <w:p>
      <w:r>
        <w:t>Bundesverwaltungsgericht, 2007-03-15, DE</w:t>
      </w:r>
    </w:p>
    <w:p>
      <w:r>
        <w:rPr>
          <w:b/>
        </w:rPr>
        <w:t xml:space="preserve">Quelle: </w:t>
      </w:r>
      <w:r>
        <w:t>https://mcp.opencaselaw.ch/entscheid/bvger_B-7415_2006</w:t>
      </w:r>
    </w:p>
    <w:p>
      <w:r>
        <w:t>FR: TAF B-7415/2006 du 15 mars 2007</w:t>
      </w:r>
    </w:p>
    <w:p>
      <w:r>
        <w:t>IT: TAF B-7415/2006 del 15 marzo 2007</w:t>
      </w:r>
    </w:p>
    <w:p>
      <w:pPr>
        <w:pStyle w:val="Heading2"/>
      </w:pPr>
      <w:r>
        <w:t>Regeste</w:t>
      </w:r>
    </w:p>
    <w:p>
      <w:r>
        <w:t>Absolute Ausschlussgründe</w:t>
      </w:r>
    </w:p>
    <w:p>
      <w:pPr>
        <w:pStyle w:val="Heading2"/>
      </w:pPr>
      <w:r>
        <w:t>Erwägungen</w:t>
      </w:r>
    </w:p>
    <w:p>
      <w:r>
        <w:rPr>
          <w:b/>
        </w:rPr>
        <w:t>E. 1</w:t>
      </w:r>
    </w:p>
    <w:p>
      <w:r>
        <w:t>Nach der Legaldefinition von Art. 1 Abs. 1 MSchG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2</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Heinrich/A. Ruf, Markenschutz für Produktformen?, sic! 2003, 402, M. Streuli-Youssef, Zur Schutzfähigkeit von Formmarken, sic! 2002, 796, BGE 130 III 334 E. 3.5 Swatch).</w:t>
      </w:r>
    </w:p>
    <w:p>
      <w:r>
        <w:rPr>
          <w:b/>
        </w:rPr>
        <w:t>E. 3</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 Luchsinger, Dreidimensionale Marken, Formmarken und Gemeingut, sic! 1999, 196, C. Willi, Markenschutzgesetz, Zürich 2002, N. 124 zu Art. 2 MSchG; RKGE in sic! 2004, 502 E. 9 Eistorte). In einzelnen Produktgattungen mag sich das Publikum stärker an die Unterscheidung herkunftsbestimmender Produktformen gewöhnt haben (M. Streuli-Youssef, a.a.o., 797). Einfache und banale Formen sind dem Verkehr aber grundsätzlich freizuhalten (P. Heinrich/A. Ruf, a.a.o., 401 m.w.H., BGE 131 III 130 E. 4.4 Smarties). Auch besteht ein absolutes Freihaltebedürfnis bei Formen, die das Wesen der Ware ausmachen oder die technisch notwendig sind (BGE 129 III 518 E. 2.4.1-2 Lego, Art. 2 Bst. b MSchG).</w:t>
      </w:r>
    </w:p>
    <w:p>
      <w:r>
        <w:rPr>
          <w:b/>
        </w:rPr>
        <w:t>E. 4</w:t>
      </w:r>
    </w:p>
    <w:p>
      <w:r>
        <w:t>Ästhetische Gestaltungsmittel erschöpfen sich häufig darin, der Ware oder der Verpackung ein attraktives Design zu verleihen. Sie sind jedoch nicht von vornherein ungeeignet, einem Zeichen im markenrechtlichen Sinn Unterscheidungskraft zu verleihen. Ob ein ästhetisches Stilelement auch als betrieblicher Herkunftshinweis erkannt wird, ist im Einzelfall zu prüfen. Entscheidend ist stets "die Frage, ob der Konsument im fraglichen Zeichen (originär) einen Hinweis zur Identifikation des Produktherstellers sieht" (M. Ineichen, Die Formmarke im Lichte der absoluten Ausschlussgründe nach dem schweizerischen Markenschutzgesetz, GRUR Int. 2003, 200). Dabei darf die der Marke in Art. 1 Abs. 1 MSchG auferlegte Zielsetzung, als Unterscheidungsmerkmal zu dienen, nicht aus den Augen verloren werden (RKGE in sic! 2004, 99 E. 4 Diortasche).</w:t>
      </w:r>
    </w:p>
    <w:p>
      <w:r>
        <w:rPr>
          <w:b/>
        </w:rPr>
        <w:t>E. 5</w:t>
      </w:r>
    </w:p>
    <w:p>
      <w:r>
        <w:t>Die Schutzfähigkeit eines Zeichens ist nach Massgabe des Hinterlegungsgesuches zu prüfen (RKGE in sic! 2006, 265 E. 5 Tetrapack). Die hinterlegte Form besteht aus einer Flasche in Form eines geneigt stehenden Tropfens mit kugelartigem Unterbereich, der nach oben immer dünner wird und in einer gegen die Standneigung gekrümmten Spitze endet. Auf den ersten Blick erscheint die Form wie aus einem Guss. Bei genauerer Betrachtung der Markenabbildung sieht man jedoch, dass die leicht dunkler als das Unterteil erscheinende Tropfenspitze als Verschluss dienen könnte. Die Vorinstanz hat der hinterlegten Flaschenform den Markenschutz im Wesentlichen mit der Begründung verweigert, dass im Bereich der Parfüms eine grosse Formenvielfalt bezüglich der Verpackungsform bestehe. Diese Variationsbreite führe dazu, dass auch eine Vielzahl von Formen als banal gelte (angefochtene Verfügung, Ziff. 9).</w:t>
      </w:r>
    </w:p>
    <w:p>
      <w:r>
        <w:rPr>
          <w:b/>
        </w:rPr>
        <w:t>E. 6</w:t>
      </w:r>
    </w:p>
    <w:p>
      <w:r>
        <w:t>Für die Schutzfähigkeit einer Parfümflasche als Formmarke ist nicht relevant, ob sich die Flasche von den anderen auf dem Markt befindenden Flacons genügend unterscheidet. Eine mangelnde diesbezügliche Unterscheidungsmöglichkeit könnte allenfalls einen relativen Schutzausschlussgrund im Sinne von Art. 3 MSchG darstellen (RKGE in sic! 1998, 401 E. 6 Parfümflasche). Dagegen ist für die Eintragungsfähigkeit als Formmarke entscheidend, dass die Form durch unterscheidungskräftige Merkmale vom Gemeingut, das heisst, von gewohnten und erwarteten Formen des betreffenden Warensegmentes abweicht.</w:t>
      </w:r>
    </w:p>
    <w:p>
      <w:r>
        <w:rPr>
          <w:b/>
        </w:rPr>
        <w:t>E. 7</w:t>
      </w:r>
    </w:p>
    <w:p>
      <w:r>
        <w:t>Vorab kann festgestellt werden, dass die Form der Flasche nicht technisch bedingt ist, was die Vorinstanz auch zu Recht nicht behauptet hat. Sie erscheint vielmehr unter mehreren Gesichtspunkten, nämlich der Produktion, des Transportes, der Stapelbarkeit usw., als nicht sehr praktisch. Im Weiteren besteht auch kein Freihaltebedürfnis des Verkehrs an der Form eines Tropfens für Parfümflaschen.</w:t>
      </w:r>
    </w:p>
    <w:p>
      <w:r>
        <w:rPr>
          <w:b/>
        </w:rPr>
        <w:t>E. 8</w:t>
      </w:r>
    </w:p>
    <w:p>
      <w:r>
        <w:t>Parfüms werden, wie die Vorinstanz zurecht feststellt, in der Schweiz in einer Vielzahl von Darreichungs- beziehungsweise Verpackungsformen verkauft. Die angemeldete Form ist untypischerweise nicht ohne Weiteres als Flasche erkennbar. Dies liegt einerseits daran, dass der rundliche Behälter fliessend in den spitzen Deckel übergeht. Andererseits lässt die undurchsichtige Oberfläche der beiden Bestandteile keinen Blick auf die enthaltene Flüssigkeit zu. Ungewöhnlich ist ebenfalls die asymmetrische Form der Flasche. Der Tropfen steht leicht geneigt, wobei seine Spitze entgegen der Standneigung gekrümmt ist. Die ästhetisch ansprechende Form der hinterlegten Formmarke verleiht der Flasche nicht nur ein attraktives, sondern auch ein eigenständiges Design, welches über das hinausgeht, was der Konsument unter einem ästhetischen Stilmittel erwartet.</w:t>
      </w:r>
    </w:p>
    <w:p>
      <w:r>
        <w:rPr>
          <w:b/>
        </w:rPr>
        <w:t>E. 9</w:t>
      </w:r>
    </w:p>
    <w:p>
      <w:r>
        <w:t>Die hinterlegte Formmarke besteht zwar aus der Kombination von einfachen geometrischen Elementen, nämlich einer kugelförmigen Flasche und einem kegelförmigen Deckel. Der nahtlose Übergang zwischen den beiden Teilen, der schräge Stand der Flasche und die der Standneigung entgegenwirkende Krümmung der Spitze ergeben aber insgesamt eine unterscheidungskräftige Gesamtwirkung. Wie das Bundesgericht im Entscheid Runde Tablette ausgeführt hat, müsste die Originalität bei einer aus gemeinfreien Elementen zusammengesetzten Marke "zumindest in der Verbindung der einzelnen Elemente liegen, indem mehrere gemeinfreie Elemente in überraschender Weise kombiniert werden" (BGer in sic! 2000, 286 E. 3c Runde Tablette; vgl. RKGE in sic! 2000, 702 E. 4 Tablettenform).</w:t>
      </w:r>
    </w:p>
    <w:p>
      <w:r>
        <w:rPr>
          <w:b/>
        </w:rPr>
        <w:t>E. 10</w:t>
      </w:r>
    </w:p>
    <w:p>
      <w:r>
        <w:t>Die Kombination der einfachen geometrischen Kugel- und Kegelform mit den gestalterischen Elementen der Neigung und letzterer entgegengesetzter Krümmung verleiht der Flaschenform eine eigentümliche, "dynamische" Form (vgl. RKGE vom 31. Oktober 2006 E. 10 in INGRES-News 1/2007 verdrehte Flasche). Die im Hinterlegungsgesuch beanspruchte Flaschenform ist für Parfüms nicht üblich und weicht auch vom Erwarteten und Gewohnten im Sinne der bundesgerichtlichen Rechtsprechung ab. Die hinterlegte Form weist darum einen charakteristischen und unterscheidungskräftigen Gesamteindruck auf, der auch im Gedächtnis haften bleibt. Es kann der Vorinstanz nicht beigepflichtet werden, dass die Flaschenform in diesem Warensegment banal sei. Aus den vorstehenden Erwägungen folgt, dass die hinterlegte dreidimensionale Form insgesamt ein schutzfähiges Zeichen ergibt. Damit erübrigt es sich, die weiteren Rügen der Beschwerdeführerin zu prüfen.</w:t>
      </w:r>
    </w:p>
    <w:p>
      <w:r>
        <w:rPr>
          <w:b/>
        </w:rPr>
        <w:t>E. 11</w:t>
      </w:r>
    </w:p>
    <w:p>
      <w:r>
        <w:t>Die Beschwerde ist gutzuheissen und die Vorinstanz anzuweisen, die Marke im schweizerischen Markenregister einzutragen. Bei diesem Ausgang des Verfahrens sind keine Kosten zu erheben (Art. 63 Abs. 2 VwVG), und es ist der Beschwerdeführerin der geleistete Kostenvorschuss zurück zu erstatten.</w:t>
      </w:r>
    </w:p>
    <w:p>
      <w:r>
        <w:rPr>
          <w:b/>
        </w:rPr>
        <w:t>E. 12</w:t>
      </w:r>
    </w:p>
    <w:p>
      <w:r>
        <w:t>Der obsiegenden Beschwerdeführerin ist eine Parteientschädigung "für ihr erwachsene notwendige und verhältnismässig hohe Kosten" des Beschwerdeverfahrens zuzusprechen (Art. 64 Abs. 1 VwVG). Da die Beschwerdeführerin keine Kostennote eingereicht hat, ist die Entschädigung auf Grund der Akten zu bestimmen und für das Beschwerdeverfahren auf total Fr. 3'200.-- festzusetzen (Art. 14 Abs. 2 des Reglements vom 11. Dezember 2006 über Kosten und Entschädigungen vor dem Bundesverwaltungsgericht, VGKE, SR 173.320.2, Art. 8 der Verordnung vom 10. September 1969 über Kosten und Entschädigungen im Verwaltungsverfahren, SR 172.041.0). Besteht keine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sie auch in eigenem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