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B-7398/2006 vom 25. Juli 2007</w:t>
      </w:r>
    </w:p>
    <w:p>
      <w:r>
        <w:t>Bundesverwaltungsgericht, 2007-07-25, DE</w:t>
      </w:r>
    </w:p>
    <w:p>
      <w:r>
        <w:rPr>
          <w:b/>
        </w:rPr>
        <w:t xml:space="preserve">Quelle: </w:t>
      </w:r>
      <w:r>
        <w:t>https://mcp.opencaselaw.ch/entscheid/bvger_B-7398_2006</w:t>
      </w:r>
    </w:p>
    <w:p>
      <w:r>
        <w:t>FR: TAF B-7398/2006 du 25 juillet 2007</w:t>
      </w:r>
    </w:p>
    <w:p>
      <w:r>
        <w:t>IT: TAF B-7398/2006 del 25 luglio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Registersachen zuständig (Art. 31, 32 und 33 Bst. d VGG). Das vorliegende Verfahren wurde am 1. Januar 2007 von der RKGE übernommen (Art. 53 Abs. 2 VGG). Die Beschwerde wurde in der gesetzlichen Frist von Art. 50 des Bundesgesetzes vom 20. Dezember 1968 über das Verwaltungsverfahren (VwVG, SR 172.021) am 13. September 2006 eingereicht und der verlangte Kostenvorschuss rechtzeitig geleistet. Die Beschwerdeführerin ist durch die angefochtene Verfügung besonders berührt und durch den Entscheid beschwert (Art. 48 VwVG). Auf die Beschwerde ist deshalb einzutreten.</w:t>
      </w:r>
    </w:p>
    <w:p>
      <w:r>
        <w:rPr>
          <w:b/>
        </w:rPr>
        <w:t>E. 2</w:t>
      </w:r>
    </w:p>
    <w:p>
      <w:r>
        <w:t>Innerhalb eines Jahres ab Mitteilung einer Internationalen Markenregistrierung kann die Vorinstanz erklären, dass sie dieser Marke den Schutz in der Schweiz verweigere (RKGE in sic! 2006, 31 Schmuckkäfer). Sie muss dafür mindestens einen in der PVÜ erwähnten Grund angeben (Art. 5 Abs. 1 des Madrider Abkommens über die internationale Registrierung von Fabrik- oder Handelsmarken, revidiert in Nizza am 15. Juni 1957 [MMA, SR 0.232.112.2]). Mit der Mitteilung der Registrierung der Marke IR 809'523 "Pralinenform" (3D) am 4. März 2004 und dem Versand der vorsorglichen Schutzverweigerung am 14. September 2004 wurde diese Jahresfrist eingehalten.</w:t>
      </w:r>
    </w:p>
    <w:p>
      <w:r>
        <w:rPr>
          <w:b/>
        </w:rPr>
        <w:t>E. 3</w:t>
      </w:r>
    </w:p>
    <w:p>
      <w:r>
        <w:t>Als Ablehnungsgrund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Schutzlands üblich seien (Art. 6quinquies Bst. b Ziff. 2 PVÜ). Diesen Grund hat die Vorinstanz unter Hinweis auf den inhaltlich entsprechenden Tatbestand von Art. 2 Bst. a MSchG, der "Zugehörigkeit zum Gemeingut" angerufen. Lehre und Praxis zu dieser Norm können damit herangezogen werden (BGE 114 II 373 E. 1 Alta tensione, BGE 128 III 457 E. 2 Yukon). Zeichen, die Gemeingut sind, sind nach jener Bestimmung vom Markenschutz ausgeschlossen, es sei denn, dass sie sich im Verkehr für die beanspruchten Waren oder Dienstleistungen durchgesetzt haben. Zum Gemeingut zählen einerseits die Fälle fehlender Unterscheidungskraft. Darunter fallen direkte Hinweise auf Eigenschaften wie auf die Beschaffenheit, Zusammensetzung, Zweckbestimmung oder Wirkung der Ware oder Dienstleistung, für welche die Marke beansprucht wird (BGE 128 III 450 E. 1.5 Premiere, BGE 129 III 227 E. 5.1 Masterpiece) und Zeichen, die von den relevanten Abnehmerkreisen aus anderen Gründen nicht als Kennzeichen für eine betriebliche Herkunft der gekennzeichneten Ware oder Dienstleistung aufgefasst, sondern insbesondere als Dekoration, Sach- oder Produktebezeichnung angesehen werden (BGE 106 II 247 f. E. 2b Rotring, BGE 118 II 181 E. 3 Duo). Gemeingut sind andererseits Zeichen, an welchen ein Freihaltebedürfnis besteht (BGE 120 II 150 E. 3b/bb Yeni Raki, BGE 118 II 183 E. 3c Duo, BGE 117 II 323 E. 3 Valser). Als Tatbestände können fehlende Unterscheidungskraft und Freihaltebedürfnis auch beim selben Zeichen gleichzeitig vorliegen (Jürg Müller, Unterscheidungskraft, Freihaltebedürfnis, Verkehrsdurchsetzung, INGRES, Marke und Marketing, Bern 1990, S. 207; Eugen Marbach, in: Roland von Büren / Lucas David [Hrsg.], Schweizerisches Immaterialgüter- und Wettbewerbsrecht, Bd. III, Kennzeichenrecht, Basel 1996, Markenrecht, S. 34).</w:t>
      </w:r>
    </w:p>
    <w:p>
      <w:r>
        <w:rPr>
          <w:b/>
        </w:rPr>
        <w:t>E. 4</w:t>
      </w:r>
    </w:p>
    <w:p>
      <w:r>
        <w:t>Dreidimensionale Marken, die aus der Form der gekennzeichneten Ware selbst bestehen (sogenannte Formmarken), setzen eine besondere Prüfung ihrer Unterscheidungskraft voraus, da Warenformen infolge der funktionalen und ästhetischen Bedürfnisse, die an die Ware gestellt werden, vor allem auf Grund von Gebrauchs- und nicht von Kennzeichnungszwecken gestaltet werden. Abnehmer/innen pflegen eigenartige Formelemente darum auch eher mit funktionalen oder ästhetischen und weniger mit kennzeichnerischen Absichten in Verbindung zu bringen (BGE 120 II 310 E. 3a The Original, BGE 130 III 334 E. 3.5 Swatch; Martin Luchsinger, Dreidimensionale Marken, Formmarken und Gemeingut, sic!, 1999, S. 197; Peter Heinrich / Angelika Ruf, Markenschutz für Produktformen?, sic!, 2003, S. 402). Die Beschwerdeführerin verlangt darum zu Unrecht, dass bei der Prüfung von Formmarken dieselben Kriterien zur Anwendung kommen wie bei zweidimensionalen Schriftzeichen, die klassischerweise als Marken erkannt werden. Auch wenn das Formenbewusstsein des Publikums in den letzten Jahren gestiegen sein mag, wie die Beschwerdeführerin geltend macht, genügt es nicht, dass eine angemeldete Form die Ware von anderen Produkten unterscheidbar macht, sondern sie muss eine Herkunftsfunktion erfüllen, um als Marke eingetragen werden zu können (Magda Streuli-Youssef, Zur Schutzfähigkeit von Formmarken, sic!, 2002, S. 796). Nach einer Formulierung des Bundesgerichts müssen Formmarken "durch ihre Eigenheiten auffallen, vom Gewohnten und Erwarteten abweichen und dadurch im Gedächtnis der Abnehmer haften bleiben", um als Unterscheidungsmerkmal zu dienen (BGE 120 II 310 E. 3a-b The Original, BGE 129 III 525 E. 4.1 Lego).</w:t>
      </w:r>
    </w:p>
    <w:p>
      <w:r>
        <w:rPr>
          <w:b/>
        </w:rPr>
        <w:t>E. 5</w:t>
      </w:r>
    </w:p>
    <w:p>
      <w:r>
        <w:t>Eine Warenform, die das Wesen der Ware ausmacht oder die technisch notwendig ist, um den Verwendungszweck der Ware zu erfüllen, ist absolut freihaltebedürftig und vom Markenschutz ausgeschlossen, ohne dass es auf ihre Durchsetzung im Verkehr ankäme (Art. 2 Bst. b MSchG; BGE 129 III 517 f. E. 2.3 Lego). Ist die Warenform technisch bedingt aber nicht technisch notwendig, wird sie zum Gemeingut nach Art. 2 Bst. a MSchG gezählt, das durch Verkehrsdurchsetzung nachträglich Eintragungsfähigkeit erlangen kann (BGE 129 III 519 E. 2.4.3 Lego). Technisch bloss "mitbeeinflusste" Formen gelten sodann auch ohne Verkehrsdurchsetzung als unterscheidungskräftig, falls sie sich nicht in Formen des Gemeinguts erschöpfen (BGE 129 III 519 E. 2.4.4 Lego). Weitere Vorgaben können sich aus nichttechnischen Gebrauchskonventionen oder aus anderen Bedürfnissen ergeben und ebenfalls ein Freihaltebedürfnis begründen. Nach Ansicht der Vorinstanz gehört die Marke der Beschwerdeführerin zum durchsetzungsfähigen Gemeingut nach Art. 2 Bst. a MSchG.</w:t>
      </w:r>
    </w:p>
    <w:p>
      <w:r>
        <w:rPr>
          <w:b/>
        </w:rPr>
        <w:t>E. 6</w:t>
      </w:r>
    </w:p>
    <w:p>
      <w:r>
        <w:t>Massgeblich bei dieser Beurteilung ist stets der Registereintrag und nicht der tatsächliche Gebrauch der Marke (BGE 120 II 310 E. 3a The Original). Formmarken sind im Gesamteindruck aus der Sicht der Abnehmerkreise zu beurteilen, an die das Angebot der Waren gerichtet ist (Lucas David, in: Kommentar zum schweizerischen Privatrecht, Markenschutzgesetz / Muster- und Modellgesetz, Basel 1999, MSchG Art. 2 N. 8; Marbach, a.a.O., S. 35; BGE 127 III 168 E. 2b/cc Securitas), wobei es für die Zurückweisung genügt, wenn der Marke die Unterscheidungskraft nur bei einem Teil der Verkehrskreise fehlt (David, a.a.O., MSchG Art. 2 N. 9; BGE 128 III 451 E. 1.5 Premiere, BGE 99 II 404 E. 1c Biovital). In Grenzfällen sind Marken jedoch einzutragen und allenfalls der weitergehenden Prüfung durch den Zivilrichter zu überlassen (Marbach, a.a.O., S. 32; BGE 129 III 229 E. 5.3 Masterpiece, BGE 130 III 332 E. 3.2 Swatch; vgl. auch Art. 66 MSchG).</w:t>
      </w:r>
    </w:p>
    <w:p>
      <w:r>
        <w:rPr>
          <w:b/>
        </w:rPr>
        <w:t>E. 7</w:t>
      </w:r>
    </w:p>
    <w:p>
      <w:r>
        <w:t>Über die Eintragungsfähigkeit frei gestalteter, unverpackter Lebensmittel als Formmarken hatte die Rechtsprechung erst in wenigen Fällen zu befinden. Die RKGE bejahte in sic! 2004, 502 ff. Eistorte (3D) die Eintragung einer aus vielen flächendeckenden Gestaltungselementen (Wellen, Linien, Schnörkeln, Farben) zusammengesetzten Tortenoberfläche. In sic! 2001, 127 ff. Baumkuchen verweigerte die RKGE den Schutz für ein Schokoladeprodukt mit der Form eines liegenden Baumstamms. In jenem Entscheid führte die RKGE unter anderem aus, dass sich selbst auf einem Markt mit grosser Formenvielfalt wie den Schokoladewaren keine klare Grenze ziehen lasse zwischen Formen, anhand welcher das Produkt von anderen unterschieden werden kann, und Formen, die darüber hinaus die Unterscheidung der hinter dem Produkt stehenden, betrieblichen Herkunft ermöglichen. Vielmehr sei der Übergang von einer nur produktindividualisierenden zu einer kennzeichnenden Form fliessend und ein Formenvergleich stattdessen mit den bestehenden Warentypen im betreffenden Warensegment anzustellen (RKGE in sic! 2001, 129 E. 7 Baumkuchen).</w:t>
      </w:r>
    </w:p>
    <w:p>
      <w:r>
        <w:rPr>
          <w:b/>
        </w:rPr>
        <w:t>E. 8</w:t>
      </w:r>
    </w:p>
    <w:p>
      <w:r>
        <w:t>Die zu beurteilende Form besteht aus einer leicht glänzenden, wahrscheinlich mit Schokolade überzogenen Eiform, die auf einer Schmalseite durch eine marronbraune Scheibe, wahrscheinlich aus Japonaismasse, abgeschnitten ist. Die dunkelbraune Oberfläche ist wie bei einem erkalteten Schokoladeüberzug unregelmässig gewellt. In die Oberfläche der Scheibe ist mit sechzehn zum Mittelpunkt führenden Kerben ein Stern geritzt. Die Beschwerdeführerin macht geltend, die angemeldete Form sei keine geometrische oder banale Grundform, sondern aus mehreren Formenteilen zusammengesetzt, die sie individualisierten. Sie werde vom Publikum ohne Weiteres als Nachbildung einer Mohnknospe erkannt. Diese Anlehnung an eine Form aus der Blumenwelt sei ungewöhnlich und darum schutzfähig. Dagegen ist allerdings einzuwenden, dass kugelähnliche und unregelmässig geformte, mundgerechte Schokoladeportionen, die auf einer Seite flach sind, in Konditoreien und Auslagen von Süssigkeiten durchaus häufig vorkommen und in Form von Pralinen, in verschiedenen Brauntönen assortiert, aufgestellt werden. Schokolade-Pralinen sind in der Schweiz sehr verbreitet. Sie werden in der Regel mit flüssiger Schokolade hergestellt, weshalb sie naturgemäss oft eine kugelähnliche und unregelmässige Form haben, und sie pflegen bei warmem Wetter oder wenn sie in der Hand getragen werden, zu schmelzen. Darum werden sie selten übereinander gelegt, sondern meistens nebeneinander angerichtet. Um ganz im Mund zu verschwinden und keine Rückstände an den Fingern zu hinterlassen, werden sie in mundgerechten Portionen serviert. Dreht man die angemeldete Form deshalb, wie bei ihrer üblichen Präsentation in einer Konditorei, auf den Kopf (vgl. Abbildung), unterscheidet sie sich kaum mehr von einer gewöhnlichen Praline oder einem leicht gewölbten Mohrenkopf. Bei dieser marktüblichen Aufstellungsweise ist auch das ohnehin wenig originelle Sternmuster im Japonaisboden unsichtbar, das deshalb wenig zur Unterscheidungswirkung der Form beiträgt. Die Form ist noch weniger ungewohnt als die erwähnte Form eines Baumkuchens, die von der RKGE zurückgewiesen wurde.</w:t>
      </w:r>
    </w:p>
    <w:p>
      <w:r>
        <w:rPr>
          <w:b/>
        </w:rPr>
        <w:t>E. 9</w:t>
      </w:r>
    </w:p>
    <w:p>
      <w:r>
        <w:t>Die Beschwerdeführerin beruft sich allerdings auf die Ähnlichkeit ihrer Marke mit einer Mohnknospe. Die Vorinstanz hat in ihrer Vernehmlassung zwar richtig darauf hingewiesen, dass eine Mohnknospe sich von der angemeldeten Form sehr stark unterscheidet, die angemeldete Form hingegen eine gewisse Ähnlichkeit mit einer Mohnkapsel habe, also wohl eher eine Mohnkapsel gemeint sei. Mohnblumen sind im Voralpengebiet fast nur auf Magerwiesen zu finden und als Schnittblumen empfindlich. Als Mohnkapseln sind sie darum selten zu sehen, weshalb ihr Aussehen den Abnehmerkreisen von Schokoladewaren und Patisserie nicht regelmässig bekannt sein dürfte. Eine Mohnkapsel hat zudem, im Unterschied zur angemeldeten Form, einen Stiel, sie ist nicht dunkel-, sondern hellbraun und oben durch den mit dunkeln Strichen markant hervorgehobenen Stern gekennzeichnet, dessen Durchmesser grösser ist als der der Knospe (vgl. Bild). Entgegen den Vorbringen der Beschwerdeführerin werden die durchschnittlichen Abnehmerkreise die vorliegend beanspruchte Form deshalb nicht als Nachbildung einer Mohnkapsel ansehen.</w:t>
      </w:r>
    </w:p>
    <w:p>
      <w:r>
        <w:rPr>
          <w:b/>
        </w:rPr>
        <w:t>E. 10</w:t>
      </w:r>
    </w:p>
    <w:p>
      <w:r>
        <w:t>Die typische Pralinen- oder Mohrenkopfform der angemeldeten Marke weicht somit nicht genügend vom Gewohnten und Erwarteten ab und genügt den Anforderungen an eine Eintragung im Markenregister nicht. Bei den von der Beschwerdeführerin geltend gemachten Vergleichsfällen handelt es sich um völlig unterschiedliche Zeichen und Produkte, aus welchen kein Anspruch auf Eintragung abgeleitet werden kann (BGer in sic! 2005, 279 E. 4.3 Firemaster). Die Beschwerde ist somit abzuweisen.</w:t>
      </w:r>
    </w:p>
    <w:p>
      <w:r>
        <w:rPr>
          <w:b/>
        </w:rPr>
        <w:t>E. 11</w:t>
      </w:r>
    </w:p>
    <w:p>
      <w:r>
        <w:t>Bei diesem Ausgang des Verfahrens sind die Kosten der Beschwerdeführerin aufzuerlegen (Art. 63 Abs. 1 VwVG) und mit dem geleisteten Kostenvorschuss zu verrechnen. Die Spruchgebühr (Gerichtsgebühr)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Fr. 25'000.-- festzulegen (Johann Zürcher, Der Streitwert im Immaterialgüter- und Wettbewerbsrechtsprozess, sic!, 2002, S. 505; Leonz Meyer, Der Streitwert in Prozessen um Immaterialgüterrechte und Firmen, sic!, 2001, S. 559 ff.; Lucas David, in: Roland von Büren / Lucas David [Hrsg.], Schweizerisches Immaterialgüter- und Wettbewerbsrecht, Bd. I/2, Der Rechtsschutz im Immaterialgüterrecht, Basel 1998, S. 29 f.; vgl. auch Art. 4 VGKE). Es wird keine Parteientschädigung ausgerichtet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