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B-7352/2008 vom 17. Juni 2009</w:t>
      </w:r>
    </w:p>
    <w:p>
      <w:r>
        <w:t>Bundesverwaltungsgericht, 2009-06-17, FR</w:t>
      </w:r>
    </w:p>
    <w:p>
      <w:r>
        <w:rPr>
          <w:b/>
        </w:rPr>
        <w:t xml:space="preserve">Quelle: </w:t>
      </w:r>
      <w:r>
        <w:t>https://mcp.opencaselaw.ch/entscheid/bvger_B-7352_2008</w:t>
      </w:r>
    </w:p>
    <w:p>
      <w:r>
        <w:t>FR: TAF B-7352/2008 du 17 juin 2009</w:t>
      </w:r>
    </w:p>
    <w:p>
      <w:r>
        <w:t>IT: TAF B-7352/2008 del 17 giugno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de l'art. 32 de la loi du 17 juin 2005 sur le Tribunal administratif fédéral (LTAF, RS 173.32), ce dernier connaît des recours contre les décisions au sens de l'art. 5 de la loi fédérale du 20 décembre 1968 sur la procédure administrative (PA, RS 172.021) (art. 31 LTAF), rendues par les autorités citées à l'art. 33 LTAF. L'acte attaqué est une décision au sens de l'art. 5 al. 2 PA. Il émane d'une autorité au sens de l'art. 33 let. e LTAF. Aucune des clauses d'exception prévues à l'art. 32 LTAF n'est par ailleurs réalisée. Le Tribunal administratif fédéral est donc compétent pour connaître du présent recours.</w:t>
      </w:r>
    </w:p>
    <w:p>
      <w:r>
        <w:rPr>
          <w:b/>
        </w:rPr>
        <w:t>E. 1.2</w:t>
      </w:r>
    </w:p>
    <w:p>
      <w:r>
        <w:t>La recourante, qui a pris part à la procédure devant l'autorité inférieure, est spécialement atteinte par cette décision et a un intérêt digne de protection à son annulation ou à sa modification (art. 48 al. 1 PA). La qualité pour recourir doit dès lors lui être reconnue.</w:t>
      </w:r>
    </w:p>
    <w:p>
      <w:r>
        <w:rPr>
          <w:b/>
        </w:rPr>
        <w:t>E. 1.3</w:t>
      </w:r>
    </w:p>
    <w:p>
      <w:r>
        <w:t>Les dispositions relatives à la représentation, au délai de recours, à la forme et au contenu du mémoire de recours (art. 11, 50 et 52 al. 1 PA) ainsi que les autres conditions de recevabilité (art. 44 ss et 63 al. 4 PA) sont par ailleurs respectées. Le recours est donc recevable.</w:t>
      </w:r>
    </w:p>
    <w:p>
      <w:r>
        <w:rPr>
          <w:b/>
        </w:rPr>
        <w:t>E. 2</w:t>
      </w:r>
    </w:p>
    <w:p>
      <w:r>
        <w:t>Une marque est un signe propre à distinguer les produits ou les services d'une entreprise de ceux d'autres entreprises (art. 1 al. 1 de la loi sur la protection des marques du 28 août 1992 [LPM, RS 232.11]). Le droit à la marque prend naissance par l'enregistrement (art. 5 LPM) et confère au titulaire le droit exclusif de faire usage de la marque pour distinguer les produits ou les services enregistrés et d'en disposer (art. 13 al. 1 LPM). Sont exclus de la protection les signes similaires à une marque antérieure et destinés à des produits ou services identiques ou similaires, lorsqu'il en résulte un risque de confusion (art. 3 al. 1 let. c LPM). Le titulaire d'une marque antérieure peut former opposition contre un nouvel enregistrement en se fondant sur l'art. 3 al. 1 LPM (art. 31 al. 1 LPM). Si l'opposition est fondée, l'enregistrement est révoqué en tout ou en partie ; dans le cas contraire, l'opposition est rejetée (art. 33 LPM).</w:t>
      </w:r>
    </w:p>
    <w:p>
      <w:r>
        <w:rPr>
          <w:b/>
        </w:rPr>
        <w:t>E. 3</w:t>
      </w:r>
    </w:p>
    <w:p>
      <w:r>
        <w:t>La recourante conclut à l'annulation de la décision attaquée. Principalement, elle soutient que l'Institut fédéral ne devait pas entrer en matière sur l'opposition formée par l'intimée, arguant du fait que cette dernière n'aurait pas d'intérêt à agir contre la marque attaquée. Sur ce point, elle fait en outre valoir que la décision querellée n'est pas motivée ; elle reproche à l'Institut fédéral le fait qu'il n'ait pas examiné la validité de la marque opposante et qu'il n'ait pas énoncé les raisons qui l'ont conduit à l'enregistrer. Subsidiairement, la recourante conclut au rejet de l'opposition.</w:t>
      </w:r>
    </w:p>
    <w:p>
      <w:r>
        <w:rPr>
          <w:b/>
        </w:rPr>
        <w:t>E. 3.1</w:t>
      </w:r>
    </w:p>
    <w:p>
      <w:r>
        <w:t>A qualité pour former opposition le titulaire d'une marque antérieure (art. 31 al. 1 LPM). Par marque antérieure, on entend les marques déposées ou enregistrées qui donnent naissance à un droit de priorité selon les art. 6 à 8 LPM (art. 3 al. 2 let. a LPM). Le droit à la marque appartient à celui qui la dépose le premier (art. 6 LPM ; priorité découlant du dépôt). La priorité peut aussi découler de la Convention de Paris pour la protection de la propriété industrielle, révisée à Stockholm le 14 juillet 1967 (RS 0.232.04 ; ci-après : CUP) (art. 7 LPM) ou d'une exposition (art. 8 LPM) (voir également sur la qualité pour former opposition : Ivan Cherpillod, Le droit suisse des marques, Lausanne 2007, p. 148 ; Lucas David, in: Kommentar zum schweizerischen Privatrecht, Markenschutzgesetz/Muster- und Modellgesetz, Bâle 1999, MSchG art. 3 n. marg. 44 ss ; Eugen Marbach, in: Roland von Büren/Lucas David [éd.], Schweizerisches Immaterialgüter- und Wettbewerbsrecht, vol. III, Kennzeichenrecht, Bâle 1996, Markenrecht, p. 98).</w:t>
      </w:r>
    </w:p>
    <w:p>
      <w:r>
        <w:rPr>
          <w:b/>
        </w:rPr>
        <w:t>E. 3.2</w:t>
      </w:r>
    </w:p>
    <w:p>
      <w:r>
        <w:t>En l'espèce, il n'est pas contesté que l'intimée est titulaire d'une marque antérieure au sens de l'art. 3 al. 2 let. a LPM. La recourante estime en revanche que l'intimée utilise la marque opposante en violation du Traité du 16 septembre 1997 entre la Confédération suisse et la République portugaise sur la protection des indications de provenance, des appellations d'origine et des dénominations similaires (RS 0.232.111.196.54 ; ci-après : le Traité bilatéral entre la Suisse et le Portugal). Elle soutient qu'il doit être fait interdiction à l'intimée d'utiliser la marque opposante. S'appuyant sur l'affaire Budweiser (décision de la CREPI du 17 septembre 2002, publiée in : sic! 2003 431 Budweiser II), la recourante prétend que l'intimée n'avait pas qualité pour agir et que l'autorité inférieure ne devait pas entrer en matière sur son opposition.</w:t>
      </w:r>
    </w:p>
    <w:p>
      <w:r>
        <w:rPr>
          <w:b/>
        </w:rPr>
        <w:t>E. 3.2.1</w:t>
      </w:r>
    </w:p>
    <w:p>
      <w:r>
        <w:t>Dans le cadre d'une procédure civile, le Tribunal fédéral a interdit à la firme Anheuser Busch Inc. l'utilisation du signe "BUD" (arrêt du TF du 15 février 1999, publié in sic! 1999 432 Budweiser I). Dans une décision subséquente concernant une procédure d'opposition parallèle (décision de la CREPI du 17 septembre 2002 invoquée par la recourante, publiée in : sic! 2003 431 Budweiser II), la CREPI a jugé qu'en raison de l'arrêt du Tribunal fédéral précité, Anheuser Busch Inc. n'avait pas d'intérêt digne de protection à l'enregistrement des signes contenant le terme "Bud". Dite commission n'est ainsi pas entrée en matière sur le recours. In casu, aucune décision d'un juge civil n'a interdit l'usage de la marque opposante. La situation du cas d'espèce diffère donc manifestement de l'affaire Budweiser invoquée par la recourante.</w:t>
      </w:r>
    </w:p>
    <w:p>
      <w:r>
        <w:rPr>
          <w:b/>
        </w:rPr>
        <w:t>E. 3.2.2</w:t>
      </w:r>
    </w:p>
    <w:p>
      <w:r>
        <w:t>S'agissant du grief selon lequel l'autorité inférieure devait examiner si la marque opposante est conforme au Traité bilatéral entre la Suisse et le Portugal, le Tribunal constate que le terme "Torres" (ou "Torres Vedras") est une dénomination géographique pour du vin portugais que la Suisse s'est engagée à protéger (art. 2 al. 1 en relation avec l'annexe A, point B ch. 2 du Traité bilatéral entre la Suisse et le Portugal). Torres Vedras est au demeurant une ville de taille importante du centre du Portugal proche de Lisbonne. Or, la marque opposante a été enregistrée en 2001 sans limitation à la provenance portugaise des produits en cause (vins et vermouths de toutes sortes, apéritifs, produits de distillerie, alcools, eaux-de-vie brandies et liqueurs [classe 33]). Il ressort d'ailleurs des pièces du dossier de l'autorité inférieure que l'intimée produit du vin en Espagne, au Chili, en Californie et non au Portugal. L'extension au territoire suisse de la protection de la marque internationale opposante se heurte ainsi au Traité bilatéral entre la Suisse et le Portugal. Il existe en outre des doutes quant au caractère enregistrable de dite marque, eu égard à la pratique en matière d'enregistrement de dénominations géographiques (ATF 4A_587/2008 du 9 mars 2009 Calvi). Il semble dès lors que l'enregistrement de la marque opposante aurait dû être refusé (art. 2 let. a, c et d LPM). Selon la doctrine et la jurisprudence cependant, on ne saurait faire valoir, dans le cadre d'une procédure d'opposition, qu'une marque aurait dû être refusée à l'enregistrement en application des motifs absolus d'exclusion de l'art. 2 LPM. Une telle procédure n'a pour seul objet que l'examen des motifs relatifs d'exclusion prévus à l'art. 3 al. 1 LPM, les motifs absolus n'étant examinés que dans le cadre de l'enregistrement d'une marque ou dans celui d'une procédure civile ultérieure (arrêt du Tribunal administratif fédéral B-7489/2006 du 10 décembre 2008 consid. 7 Gruyère ; CHERPILLOD, op. cit., p. 149 ; MARBACH, op. cit., p. 154 s. ; CHRISTOPH WILLI, in: Markenschutzgesetz, Kommentar zum schweizerischen Markenrecht unter Berücksichtigung des europäischen und internationalen Markenrechts, Zurich 2002, art. 31 n. marg. 15 ; DAVID, op. cit., art. 31 n. marg. 12). Il est vrai que, dans un arrêt récent, le Tribunal administratif fédéral a considéré que la marque verbale prioritaire "GALILEO", enregistrée le 11 avril 1988, avait perdu sa force distinctive en raison de la protection à partir du 2 septembre 2003 de l'emblème "GALILEO (fig.)" conformément à la loi fédérale du 15 décembre 1961 concernant la protection des noms et emblèmes de l'Organisation des Nations Unies et d'autres organisations intergouvernementales (RS 232.23) (arrêt du Tribunal administratif fédéral B-3766/2007 du 30 janvier 2009 consid. 8 Galileo). Toujours est-il que le Tribunal s'est limité à définir la force distinctive du signe verbal "GALILEO" sans remettre en cause sa qualité de marque. Il suit de ce qui précède que c'est à bon droit que l'Institut fédéral est entré en matière sur l'opposition formée par l'intimée. Le recours doit dès lors être rejeté sur ce point.</w:t>
      </w:r>
    </w:p>
    <w:p>
      <w:r>
        <w:rPr>
          <w:b/>
        </w:rPr>
        <w:t>E. 4</w:t>
      </w:r>
    </w:p>
    <w:p>
      <w:r>
        <w:t>La protection est accordée pour autant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l'opposant doit rendre vraisemblable l'usage de sa marque ou l'existence de justes motifs pour son non-usage (art. 32 LPM et art. 22 al. 3 de l'ordonnance du 23 décembre 1992 sur la protection des marques [OPM, RS 232.111]). En l'espèce, la recourante a contesté l'usage de la marque opposante dans le cadre de la procédure devant l'autorité inférieure. Cette dernière a jugé que l'intimée avait rendu vraisemblable l'usage de la marque opposante en relation avec les produits de la classe 33 pour lesquels elle est protégée. Avec raison, la recourante ne conteste pas cette appréciation. Point n'est donc besoin d'examiner plus avant cette question.</w:t>
      </w:r>
    </w:p>
    <w:p>
      <w:r>
        <w:rPr>
          <w:b/>
        </w:rPr>
        <w:t>E. 5</w:t>
      </w:r>
    </w:p>
    <w:p>
      <w:r>
        <w:t>La notion de risque de confusion est liée à la définition légale de la marque, à savoir un signe propre à distinguer les produits ou les services d'une entreprise de ceux d'autres entreprises (cf. art. 1 al. 1 LPM). Cette définition reflète la fonction économique principale de la marque : d'une part, individualiser les produits ou les services désignés par le signe pour permettre aux acheteurs de les retrouver sur le marché et, d'autre part, garantir que les produits ou les services qu'elle désigne proviennent d'une certaine entreprise (Kamen Troller, Précis du droit suisse des biens immatériels, 2e éd., Bâle 2006, p. 62 s. ; Cherpillod, op. cit., p. 60). Dans le même sens, le Tribunal fédéral précise que la fonction principale et le but de la marque sont de distinguer une marchandise particulière de marchandises identiques ou similaires, de manière à ce qu'une individualisation du produit et même de son fabricant soit rendue possible (ATF 119 II 473 consid. 2c Radion). En d'autres termes, le risque de confusion signifie qu'un signe distinctif est mis en danger par des signes identiques ou semblables dans sa fonction d'individualisation de personnes ou d'objets déterminés (ATF 131 III 572 consid. 3 Atlantis). Il existe ainsi un danger de confusion lorsque la fonction distinctive de la marque antérieure est atteinte, à savoir lorsqu'il est à craindre que les acheteurs soient induits en erreur sur l'origine du produit ou qu'ils soient à tort amenés à supposer l'existence d'une relation entre les marques (ATF 127 III 160 consid. 2a Securitas, ATF 122 III 382 consid. 1 Kamillosan, ATF 126 III 315 consid. 6 Rivella ; Cherpillod, op. cit., p. 108 s.). Selon la doctrine et la jurisprudence, la différence entre deux signes devra être d'autant plus importante que les produits sont similaires et vice-versa (ATF 122 III 382 consid. 3 Kamillosan ; Troller, op. cit., p. 83). En l'espèce, la marque opposante est protégée en relation avec les produits suivants : vins, vermouths de toutes sortes, apéritifs, produits de distillerie, alcools, eaux-de-vie, brandies et liqueurs (classe 33). La marque attaquée a quant à elle été enregistrée pour les produits suivants : vins, spiritueux et liqueurs (classe 33). Dans l'acte attaqué, l'autorité inférieure a constaté l'identité des produits en cause. Avec raison, les parties ne remettent pas en question cette constatation.</w:t>
      </w:r>
    </w:p>
    <w:p>
      <w:r>
        <w:rPr>
          <w:b/>
        </w:rPr>
        <w:t>E. 6</w:t>
      </w:r>
    </w:p>
    <w:p>
      <w:r>
        <w:t>L'appréciation du risque de confusion se fait sur la base des marques telles qu'elles sont inscrites au registre (sic! 2004 927 consid. 6 Ecofin).</w:t>
      </w:r>
    </w:p>
    <w:p>
      <w:r>
        <w:rPr>
          <w:b/>
        </w:rPr>
        <w:t>E. 6.1</w:t>
      </w:r>
    </w:p>
    <w:p>
      <w:r>
        <w:t>Pour apprécier l'existence d'un risque de confusion, il faut se fonder sur le souvenir laissé par la marque chez les ultimes acquéreurs des produits ou des services (Cherpillod, op. cit., p. 110). Est déterminante l'impression d'ensemble laissée par les marques dans le souvenir du consommateur cible (ATF 127 III 160 consid. 2b/ cc Securitas). Selon la doctrine et la jurisprudence (ATF 127 III 160 consid. 2b/cc et les réf. Securitas ; Cherpillod, op. cit., p. 111), l'impression d'ensemble se détermine, pour des marques verbales, en fonction de leur sonorité, de leur présentation graphique et de leur sens. La sonorité est caractérisée par le nombre de syllabes, le rythme de l'élocution et la suite des voyelles, tandis que la présentation graphique dérive avant tout de la longueur du mot et des particularités des caractères typographiques. Enfin, la première syllabe et la racine du mot, de même que sa terminaison, attire davantage l'attention que les syllabes intercalaires non accentuées.</w:t>
      </w:r>
    </w:p>
    <w:p>
      <w:r>
        <w:rPr>
          <w:b/>
        </w:rPr>
        <w:t>E. 6.2</w:t>
      </w:r>
    </w:p>
    <w:p>
      <w:r>
        <w:t>S'agissant du cercle de destinataires déterminant,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devrait en tenir compte et admettre moins facilement l'existence d'un risque de confusion. Et si le public est composé de spécialistes dont on peut attendre une attention particulière lors de l'achat, on devrait faire preuve de retenue avant d'admettre le risque de confusion (arrêt du Tribunal administratif fédéral B-6770/2007 du 9 juin 2008 consid. 7.2 Nasacort ; sic! 2002 163 consid. 6f Audi ; ATF 84 II 441 consid. 2 Xylocain ; Cherpillod, op. cit., p. 110 ; Marbach, op. cit., p. 117). En l'espèce, les marques opposées sont protégées pour des boissons alcoolisées de la classe 33 (vins, vermouths, liqueurs, apéritifs, produits de distillerie, alcools, eaux-de-vie et brandies). Les marques opposées s'adressent donc au grand public, c'est-à-dire au consommateur moyen normalement informé et raisonnablement attentif et avisé.</w:t>
      </w:r>
    </w:p>
    <w:p>
      <w:r>
        <w:rPr>
          <w:b/>
        </w:rPr>
        <w:t>E. 6.3</w:t>
      </w:r>
    </w:p>
    <w:p>
      <w:r>
        <w:t>Le champ de protection d'une marque est déterminé par la force distinctive de celle-ci. Les marques dites faibles, dont les éléments essentiels dérivent des notions descriptives utilisées dans le langage courant et décrivent les produits ou les services pour lesquels la marque est enregistrée, ont un champ de protection plus restreint que les marques fortes qui ne contiennent pas d'éléments descriptifs (ATF 122 III 382 consid. 2a Kamillosan). Un élément de la marque n'exerce toutefois un effet descriptif que si sa signification descriptive se comprend facilement pour le consommateur moyen sans effort d'imagination (ATF 114 II 371 consid. 2 Alta tensione, 108 II 216 consid. 2 Less). Les éléments frappants, que leur signification ou leur sonorité mettent particulièrement en évidence, ont, en revanche, une importance accrue dans l'appréciation du risque de confusion (ATF 131 III 572 consid. 3 et 4.2.2 et les réf. cit. Atlantis).</w:t>
      </w:r>
    </w:p>
    <w:p>
      <w:r>
        <w:rPr>
          <w:b/>
        </w:rPr>
        <w:t>E. 7</w:t>
      </w:r>
    </w:p>
    <w:p>
      <w:r>
        <w:t>Les marques verbales opposées sont, d'une part, "TORRES" (marque opposante) et, d'autre part, "TORRE SARACENA" (marque attaquée). Il convient dans un premier temps de déterminer le champ de protection de la marque opposante.</w:t>
      </w:r>
    </w:p>
    <w:p>
      <w:r>
        <w:rPr>
          <w:b/>
        </w:rPr>
        <w:t>E. 7.1</w:t>
      </w:r>
    </w:p>
    <w:p>
      <w:r>
        <w:t>A cet égard, l'Institut fédéral a considéré que le mot "Torres" n'avait pas de signification particulière en relation avec les produits de la classe 33. Dite autorité a dès lors reconnu à la marque opposante un champ de protection normal. Elle a également constaté qu'il existait une longue tradition familiale des vins "Torres", de sorte que la force distinctive de la marque opposante pouvait être accrue, sous-entendant ainsi la signification patronymique du mot litigieux. La recourante prétend en revanche en bref que le mot "torre" signifie "tour" et qu'il est l'équivalent de "château" pour des vins. Elle en déduit que la marque opposante, à laquelle un "s" a été ajouté au mot "torre", est faible. L'intimée soutient quant à elle que la marque "TORRES" est notoirement connue des consommateurs suisses.</w:t>
      </w:r>
    </w:p>
    <w:p>
      <w:r>
        <w:rPr>
          <w:b/>
        </w:rPr>
        <w:t>E. 7.2</w:t>
      </w:r>
    </w:p>
    <w:p>
      <w:r>
        <w:t>Il est vrai que le mot "Torres" est un patronyme, de surcroît connu en Suisse, en particulier en raison de la notoriété du footballeur espagnol Fernando Torres. "Torres" est en outre l'un des éléments qui constituent la raison sociale patronymique de l'intimée (Miguel Torres SA). Ces éléments tendent ainsi à asseoir l'appréciation de l'autorité inférieure selon laquelle la marque opposante dispose d'un champ de protection normal. Cependant, nous avons déjà relevé que "Torres" est également une indication de provenance géographique réservée à des vins portugais (cf. supra consid. 3.2.2). Or, ce fait n'a été ni relevé ni examiné par l'autorité inférieure. Dans un arrêt récent, le Tribunal administratif fédéral a confirmé la jurisprudence selon laquelle les appellations d'origine contrôlée (AOC) appartenaient au domaine public, dans la mesure où de tels signes sont de nature collective et doivent rester à la libre disposition de tous les producteurs qui remplissent les exigences du cahier des charges. Tout en la laissant ouverte, le Tribunal s'est toutefois posé la question de savoir si un tel signe n'avait pas en soi un caractère distinctif et, par conséquent, si son utilisation n'était pas exclue ex lege pour les producteurs qui ne rempliraient pas les conditions du cahier des charges. A également été laissée indécise la question de savoir si la Suisse ne devait pas protéger ses AOC vis-à-vis de producteurs étrangers (arrêt du Tribunal administratif fédéral B-7489/2006 du 10 décembre 2008 consid. 9.2 Gruyère). En l'espèce, si "Torres" n'est pas une AOC, il s'agit néanmoins d'une indication de provenance géographique réservée à des vins portugais que la Suisse s'est engagée à protéger. Il en résulterait que la marque opposante est faible, voire nulle dans la mesure où l'intimée ne produit pas du vin portugais. Force donc est de constater que l'appréciation du champ de protection de la marque opposante effectuée par l'autorité inférieure repose sur une constatation lacunaire des faits. Il en résulte que dite autorité n'a pas examiné, dans l'hypothèse où l'on devrait conclure à l'appartenance du signe opposant au domaine public, si celui-là a acquis une force distinctive en s'étant imposé dans le commerce. A cet égard, plus la qualité du produit dépend des caractéristiques du sol ou d'autres circonstances locales, plus le caractère descriptif de la marque formée du lieu sera fort et le besoin de laisser ce nom à la libre disposition sera d'autant plus important. Selon le Tribunal fédéral, il convient dès lors de poser des exigences d'autant plus élevées quant au point de savoir si la dénomination s'est imposée dans le commerce (ATF 117 II 321 consid. 3a et les réf. Valser). En outre, dans le contexte de l'examen du risque de confusion, il convient de noter que, si une dénomination géographique est devenue une marque à la suite d'un long usage dans le commerce, les entreprises concurrentes qui s'installent ensuite au même endroit ne peuvent se voir interdire de se référer à la provenance de leurs marchandises. Elles doivent cependant faire en sorte de distinguer suffisamment leur marque de la marque antérieure (Cherpillod, op. cit., p. 86 ; ATF 117 II 321 consid. 4 Valser).</w:t>
      </w:r>
    </w:p>
    <w:p>
      <w:r>
        <w:rPr>
          <w:b/>
        </w:rPr>
        <w:t>E. 7.3</w:t>
      </w:r>
    </w:p>
    <w:p>
      <w:r>
        <w:t>Selon l'art. 61 al. 1 PA, l'autorité statue elle-même sur l'affaire ou exceptionnellement la renvoie avec des instructions impératives à l'autorité inférieure. Dans le cas d'espèce, l'Institut fédéral n'a pas examiné le champ de protection de la marque opposante en tenant compte du fait que "Torres" est une indication de provenance géographique protégée ainsi que de l'ensemble des questions qui s'y rattachent. Il apparaît dès lors que dite autorité ne s'est manifestement pas matériellement prononcée de manière complète sur l'opposition. D'ailleurs, dans le cadre de l'échange d'écritures, elle s'est limitée à renvoyer à la motivation de sa décision, malgré les arguments développés par la recourante. Il est par conséquent justifié de lui renvoyer la cause pour qu'elle fasse l'objet d'une nouvelle décision. Dans le cas contraire, les parties perdraient le bénéfice d'une part de leurs droits en première instance (voir dans le même sens : arrêt du Tribunal administratif fédéral B-7433/2006 du 7 novembre 2007 consid. 4.2 et les réf. cit.). Dans ces conditions, il y a lieu d'admettre le recours, d'annuler la décision querellée et de renvoyer l'affaire à l'IPI, qui statuera à nouveau sur la question du champ de protection de la marque opposante de manière circonstanciée en tenant également compte du fait que "Torres" est une indication géographique protégée et en examinant l'ensemble des questions qui s'y rattachent. Il lui appartiendra ensuite de restatuer sur l'existence d'un danger de confusion entre cette marque et la marque "TORRE SARACENA".</w:t>
      </w:r>
    </w:p>
    <w:p>
      <w:r>
        <w:rPr>
          <w:b/>
        </w:rPr>
        <w:t>E. 8</w:t>
      </w:r>
    </w:p>
    <w:p>
      <w:r>
        <w:t>Il ressort de ce qui précède que le recours formé par Gruppo Italiano Vini SpA doit être partiellement admis. La décision de l'IPI du 16 octobre 2008 doit être annulée, la cause renvoyée à dite autorité pour qu'elle prenne une nouvelle décision dans le sens des considérants.</w:t>
      </w:r>
    </w:p>
    <w:p>
      <w:r>
        <w:rPr>
          <w:b/>
        </w:rPr>
        <w:t>E. 8.1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 de recours en matière d'opposition, il y a lieu d'évaluer l'intérêt de l'opposant à la radiation de la marque, respectivement l'intérêt du défendeur au maintient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Au regard de ce qui précède, les frais de procédure doivent être fixés à Fr. 4'000.- au total. Compte tenu de l'issue de la procédure, ce montant est réparti par moitié entre les parties. La somme mise à la charge de la recourante (Fr. 2'000.-) est imputée sur l'avance de frais de Fr. 5'000.- déjà versée. Le solde de Fr. 3'000.- lui est restitué.</w:t>
      </w:r>
    </w:p>
    <w:p>
      <w:r>
        <w:rPr>
          <w:b/>
        </w:rPr>
        <w:t>E. 8.2</w:t>
      </w:r>
    </w:p>
    <w:p>
      <w:r>
        <w:t>Compte tenu de l'issue de la procédure, les dépens alloués aux parties, réduits dans la même mesure, sont compensés.</w:t>
      </w:r>
    </w:p>
    <w:p>
      <w:r>
        <w:rPr>
          <w:b/>
        </w:rPr>
        <w:t>E. 9</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