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B-7346/2009 vom 27. September 2010</w:t>
      </w:r>
    </w:p>
    <w:p>
      <w:r>
        <w:t>Bundesverwaltungsgericht, 2010-09-27, DE</w:t>
      </w:r>
    </w:p>
    <w:p>
      <w:r>
        <w:rPr>
          <w:b/>
        </w:rPr>
        <w:t xml:space="preserve">Quelle: </w:t>
      </w:r>
      <w:r>
        <w:t>https://mcp.opencaselaw.ch/entscheid/bvger_B-7346_2009</w:t>
      </w:r>
    </w:p>
    <w:p>
      <w:r>
        <w:t>FR: TAF B-7346/2009 du 27 septembre 2010</w:t>
      </w:r>
    </w:p>
    <w:p>
      <w:r>
        <w:t>IT: TAF B-7346/2009 del 27 settembre 2010</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VGG). Die Beschwerde wurde innert der gesetzlichen Frist von Art. 50 Abs. 1 des Bundesgesetzes vom 20. Dezember 1968 über das Verwaltungsverfahren (VwVG, SR 172.021) eingereicht und der verlangte Kostenvorschuss rechtzeitig geleistet. Als Widerspruchsgegnerin ist die Beschwerdeführerin durch die angefochtene Verfügung besonders berührt und beschwert (Art. 48 VwVG). Auf die Beschwerde ist darum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Der Inhaber einer älteren Marke kann gestützt auf Art. 3 Abs. 1 MSchG innerhalb von drei Monaten nach der Veröffentlichung der Eintragung Widerspruch erheben (Art. 31 MSchG).</w:t>
      </w:r>
    </w:p>
    <w:p>
      <w:r>
        <w:rPr>
          <w:b/>
        </w:rPr>
        <w:t>E. 2.2</w:t>
      </w:r>
    </w:p>
    <w:p>
      <w:r>
        <w:t>Die Beurteilung der Verwechslungsgefahr richtet sich nach der Ähnlichkeit der Zeichen im Erinnerungsbild des Letztabnehmers (BGE 121 III 377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 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Kontrolle eines gemeinsamen Markeninhabers hergestellt (DAVID, a.a.O., Art. 3, N. 35).</w:t>
      </w:r>
    </w:p>
    <w:p>
      <w:r>
        <w:rPr>
          <w:b/>
        </w:rPr>
        <w:t>E. 2.3</w:t>
      </w:r>
    </w:p>
    <w:p>
      <w:r>
        <w:t>Eine Verwechslungsgefahr besteht, wenn aufgrund der Ähnlichkeit der sich gegenüberstehenden Marken Fehlzurechnungen zu befürchten sind, die das besser berechtigte Zeichen in seiner Individualisierungsfunktion beeinträchtigen (BGE 127 III 160 E. 2a Securitas/Securicall). Dabei ist nicht erst von einer Verwechslungsgefahr auszugehen, wenn die angesprochenen Verkehrskreise die Marken nicht mehr auseinander zu halten vermögen ("unmittelbare Verwechslungsgefahr"), sondern schon dann, wenn sie die Zeichen zwar unterscheiden, aber aufgrund ihrer Ähnlichkeit unzutreffende Zusammenhänge vermuten ("mittelbare Verwechslungsgefahr", BGE 128 III 441 E. 3.1 Appenzeller, BGE 122 III 382 E. 1 Kamillosan/Kamillon, Kamillan, je mit weiteren Hinweisen). Die Beurteilung von Art. 3 Abs. 1 MSchG richtet sich nach dem Registereintrag der Marken und nicht nach ihrem tatsächlichen Gebrauch (Urteile des Bundesverwaltungsgerichts [BVGer] B-5325/2007 vom 12. November 2007 E. 3 Adwista/ad-vista, mit Hinweisen, B-7475/2006 vom 20. Juni 2007 E. 5 Converse All Star [fig.]/ Army tex [fig.]).</w:t>
      </w:r>
    </w:p>
    <w:p>
      <w:r>
        <w:rPr>
          <w:b/>
        </w:rPr>
        <w:t>E. 2.4</w:t>
      </w:r>
    </w:p>
    <w:p>
      <w:r>
        <w:t>Neben dem Aufmerksamkeitsgrad, mit dem die Abnehmer Waren oder Dienstleistungen nachfragen, ist auch die Kennzeichnungskraft der Widerspruchsmarke von Bedeutung, da sie deren Schutzumfang bestimmt (BGE 122 III 382 E. 2a Kamillosan/Kamillan, Kamillon; Urteil des BVGer B-7934/2007 vom 26. August 2009 E. 2.1 Fructa/Fructaid; Gallus Joller, in: Michael Noth/Gregor Bühler/Florent Thouvenin [Hrsg.], Markenschutzgesetz [MschG], Bern 2009, Art. 3 N. 69 ff.; Christoph Willi, in: Markenschutzgesetz, Kommentar zum schweizerischen Markenrecht unter Berücksichtigung des europäischen und internationalen Markenrechts, Zürich 2002, Art. 3 N. 17 ff.). Der geschützte Ähnlichkeitsbereich für schwache Marken ist kleiner als für starke. Bei schwachen Marken genügen daher bereits bescheidenere Abweichungen in der jüngeren Marke, um eine Verwechslungsgefahr auszuschliessen (BGE 122 II 382 E. 2a Kamillosan/Kamillon, Kamillan; Urteile des BVGer B-5440/2008 vom 24. Juli 2009 E. 4 jump [fig.]/ Jumpman, B-1427/2007 vom 28. Februar 2008 E. 6.1 Kremlyovskaya/ Kremlyevka, mit Hinweisen, B-7492/2006 vom 12. Juli 2007 E. 6 Aromata/Aromathera). Stark sind Marken, die entweder aufgrund ihres Fantasiegehalts ursprünglich unterscheidungskräftig sind oder sich im Verkehr durchgesetzt haben (BGE 122 III 382 E. 2a Kamillosan/Kamillon, Kamillan, mit Hinweisen; Urteil des BVGer B-7475/2006 vom 20. Juni 2007 E. 6 und 7 Converse All Star [fig.]/Army tex [fig.]; Entscheid der Eidgenössischen Rekurskommission für geistiges Eigentum [RKGE] vom 26. Oktober 2006 E. 7 Red Bull [fig.];Red/Red Devil, veröffentlicht in Zeitschrift für Immaterialgüter-, Informations- und Wettbewerbsrecht, sic! 2007 S. 531; Eugen Marbach, in Roland von Büren/Lucas David [Hrsg.], Schweizerisches Immaterialgüter- und Wettbewerbsrecht, Bd. III/1, Markenrecht, 2. Aufl. Basel 2009, N. 979). Als schwach gelten demgegenüber Marken, die sich eng an Sachbegriffe anlehnen oder eine allgemein gebräuchliche Bezeichnung für die in Frage stehenden Waren und Dienstleistungen darstellen (Urteile des BVGer B-5440/2008 vom 24. Juli 2009 E. 6.2 jump [fig.]/Jumpman, B-5477/2007 vom 28. Februar 2008 E. 6 Regulat/H2O3 ph/Regulat [fig.], B-8320/2007 vom 13. Juni 2008 E. 5.1.1 iBond/HY-Bond Resiglass, B-7492/2006 vom 12. Juli 2007 E. 6 Aromata/Aromathera; Marbach, a.a.O., N. 981 f.), wobei es genügt, wenn die fragliche Bedeutung nur von einem Teil der massgeblichen Verkehrskreise oder nur in einer schweizerischen Sprachregion verstanden wird (BGE 128 III 451 E. 1.5 Premiere, BGE 127 III 166 f. E. 2b/aa Securitas, BGE 97 I 83 Top Set).</w:t>
      </w:r>
    </w:p>
    <w:p>
      <w:r>
        <w:rPr>
          <w:b/>
        </w:rPr>
        <w:t>E. 2.5</w:t>
      </w:r>
    </w:p>
    <w:p>
      <w:r>
        <w:t>Zusätzlich wird der Schutzumfang der Widerspruchsmarke durch die Sphäre des Gemeinguts begrenzt. Was markenrechtlich gemeinfrei ist, steht dem Verkehr zur freien Verwendung zu. Gemeingutähnliche Marken können zwar schutzfähig sein, doch erstreckt sich ihr Schutz nicht auf das zum Gemeingut gehörende Element als solches (Urteil B-7506/2006 des BVGer vom 21. März 2007 E. 3 Karomuster (fig.); Entscheid der RKGE vom 11. Mai 1999 E. 2c Compaq/CompactFlash, veröffentlicht in sic! 1999 S. 420; vgl. auch Entscheide der RKGE vom 21. April 2006 E. 11 Sbrinz [fig.]/sbrinz [fig.], veröffentlicht in sic! 2006 S. 484, vom 16. Mai 2000 E. 6 Assura (fig.)/Assurapoint etc., veröffentlicht in sic! 2000 S. 378). Allerdings sind im Gemeingut stehende Markenelemente bei der Beurteilung der Verwechslungsgefahr nicht einfach wegzustreichen, sondern in Anrechnung ihrer für sich genommen geringen oder fehlenden Kennzeichnungskraft dennoch im Gesamteindruck der Marke zu berücksichtigen. Ein Markenelement kann nämlich nicht nur für sich genommen, sondern auch im Zusammenspiel, aufgrund seiner Kombination und Komposition mit anderen Elementen oder durch sinngehaltliche Bezugnahme auf jene zur Kennzeichnungskraft der Marke beitragen (Urteile des BVGer B-516/2008 vom 23. Januar 2009 E. 3 After hours, B-4848/2009 vom 14. April 2010 E. 2.5 f. Trendline, Comfortline). Hinwiederum kann der Schutzumfang einer Marke so eng sein, dass sie nicht einmal gegen ihre identische Verwendung durch einen Dritten zu schützen ist (Urteil des BVGer B-7017/2008 vom 11. Februar 2010 E. 5.1 Plus/Plusplus; Gregor Wild, in: Michael Noth/Gregor Bühler/Florent Thouvenin [Hrsg.], Markenschutzgesetz [MSchG], Bern 2009, Art. 31 N. 10).</w:t>
      </w:r>
    </w:p>
    <w:p>
      <w:r>
        <w:rPr>
          <w:b/>
        </w:rPr>
        <w:t>E. 2.6</w:t>
      </w:r>
    </w:p>
    <w:p>
      <w:r>
        <w:t>Der Gesamteindruck von Wortmarken wird zunächst durch ihren Klang und ihr Schriftbild bestimmt; gegebenenfalls ist ihr Sinngehalt zu beachten. Das Silbenmass, die Aussprachekadenz und die Aufeinanderfolge der Vokale prägen insbesondere den Klang, während das Schriftbild vor allem durch die Wortlänge und durch die Eigenheiten der verwendeten Buchstaben bestimmt wird (Urteil des BVGer B-7492/ 2006 vom 12. Juli 2007 E. 4 Aromata/Aromathera, mit Hinweisen). Grundsätzlich genügt eine Übereinstimmung zwischen Wortmarken unter einem der drei genannten Gesichtspunkte, Klang, Bild oder Sinn, um die Zeichenähnlichkeit zu bejahen. Ein klar erkennbarer unterschiedlicher Sinngehalt im Widerspruch stehender Marken kann eine festgestellte visuelle oder akustische Ähnlichkeit jedoch wettmachen (Urteil des BVGer B-7460/2006 vom 6. Juli 2007 E. 6 Adia/Adia Jobs, Adia Personal; Entscheid der RKGE vom 10. März 2006 E. 7 Minergie/ Sinnergie, veröffentlicht in sic! 2006 S. 413). Bei der Beurteilung der Zeichenähnlichkeit von Wortmarken wird, wie auch die Vorinstanz hervorhebt, dem Wortanfang und -ende in der Regel grössere Bedeutung beigemessen als der Wortmitte (BGE 122 III 588 E. 5a Kamillosan/Kamillon, Kamillan; Entscheid der RKGE vom 20. Oktober 2005 E. 6 Mictonorm/Mictosan, veröffentlicht in sic! 2006 S. 90).</w:t>
      </w:r>
    </w:p>
    <w:p>
      <w:r>
        <w:rPr>
          <w:b/>
        </w:rPr>
        <w:t>E. 3</w:t>
      </w:r>
    </w:p>
    <w:p>
      <w:r>
        <w:t>Die Widerspruchsmarke wird für "Baumaterialien, nicht aus Metall, insbesondere Ziegelsteine", die angefochtene Marke für "wärmedämmende, tragende Bauelemente (nicht aus Metall)" beansprucht. Diese Waren werden vor allem von Bauunternehmen und professionellen Bauhandwerkern zum baulichen Gebrauch erworben, denn sie lassen sich nur mit handwerklichem Können sachgerecht verwenden. Private pflegen Ziegelsteine bzw. tragende Bauelemente nur ausnahmsweise und in geringer Quantität nachzufragen. Die massgeblichen Verkehrskreise werden daher aus Bauunternehmen und Bauhandwerkern gebildet, die, wie die Vorinstanz zurecht erinnert, den Marken mit fachmännischer Aufmerksamkeit begegnen.</w:t>
      </w:r>
    </w:p>
    <w:p>
      <w:r>
        <w:rPr>
          <w:b/>
        </w:rPr>
        <w:t>E. 4</w:t>
      </w:r>
    </w:p>
    <w:p>
      <w:r>
        <w:t>Nach im Beschwerdeverfahren unbestritten gebliebener Ansicht der Vorinstanz besteht zwischen den Marken Warengleichheit, da die von der angefochtenen Marke beanspruchten Waren unter den Oberbegriff der Waren subsumiert werden können, für den die Widerspruchsmarke eingetragen ist. Wie die Vorinstanz zurecht hervorhebt, ist die Frage der Verwechslungsgefahr darum nach einem strengen Massstab zu prüfen (BGE 121 III 381 E. 3e Boss/Boks).</w:t>
      </w:r>
    </w:p>
    <w:p>
      <w:r>
        <w:rPr>
          <w:b/>
        </w:rPr>
        <w:t>E. 5</w:t>
      </w:r>
    </w:p>
    <w:p>
      <w:r>
        <w:t>Für die genannten Adressatenkreise erkennbar ist MUROLINO aus dem Stamm MURO- und der Endung -LINO zusammengesetzt. Muro ist das italienische Wort für "Mauer". -ino oder -lino ist eine häufige italienische Diminutivendung (Selezione dal Reader's Digest S.p.A. [Hrsg.], Come parlare e scrivere meglio, Milano 1992, S. 138). Zwar lautet der übliche, "richtige" italienische Diminutiv von "muro" nicht "murolino", sondern "muretto" (GARZANTI LINGUISTICA, Dizionari per Definizione, GIACOMO DEVOTO/GIAN CARLO OLI, Dizionario Devoto Oli, beide als online-Ausgabe). Dennoch folgt "Murolino" der Bauweise von Diminutiven mit der Endung "-ino" ordnungsgemäss und wird es vom italienischsprachigen Publikum ohne Weiteres mit dem Sinngehalt "Mäuerchen" oder "Mäuerlein" verstanden. Für Ziegelsteine und andere nichtmetallene Baumaterialien ist die Widerspruchsmarke darum, wie die Beschwerdegegnerin zurecht geltend macht, kennzeichnungsschwach. Mauern entstehen als unmittelbares Produkt aus dem vorausgesetzten Gebrauch solcher Waren, so dass die Marke deren hauptsächliche Funktion ohne Zuhilfenahme der Fantasie zum Ausdruck bringt. Die Endung -lino hat, wie das Bundesgericht in BGE 112 II 362 E. 2 Escolino/Seccolino festgehalten hat, wegen ihrer Häufigkeit keinen grossen Einfluss auf die Kennzeichnungskraft. Da die Widerspruchsmarke aber eine für muro unübliche Diminutivform verwendet und da die Grösse von Mauern nicht wesentlich von der Grösse oder Niedlichkeit der dafür verwendeten Baumaterialien abhängt, weshalb der Gebrauch als Diminutivform auch nicht naheliegt, ist der Marke dennoch ein geringfügiger Schutzumfang zuzubilligen. Eine gesteigerte Verkehrsgeltung der Widerspruchsmarke wurde nicht geltend gemacht.</w:t>
      </w:r>
    </w:p>
    <w:p>
      <w:r>
        <w:rPr>
          <w:b/>
        </w:rPr>
        <w:t>E. 6.1</w:t>
      </w:r>
    </w:p>
    <w:p>
      <w:r>
        <w:t>Die zu vergleichenden Zeichen sind Wortmarken. Sie stimmen in ihren ersten und letzten drei Buchstaben überein und unterscheiden sich einzig in der Mittelsilbe "-ol-" der Widerspruchsmarke. Daraus ergibt sich im Wortklang zwischen ihnen ein unterschiedliches Silbenmass und eine leicht abweichende Vokalfolge bei ähnlicher Konsonantenfolge. Die Schriftbilder gleichen sich aufgrund der Übereinstimmung in Zeichenanfang und -ende weitgehend.</w:t>
      </w:r>
    </w:p>
    <w:p>
      <w:r>
        <w:rPr>
          <w:b/>
        </w:rPr>
        <w:t>E. 6.2</w:t>
      </w:r>
    </w:p>
    <w:p>
      <w:r>
        <w:t>Entscheidend für den vorliegenden Fall aber sind die Regeln der italienischen Diminutivbildung. Die italienische Sprache kennt nicht weniger als elf verschiedene Bau- und Variationsweisen für Diminutive, die dem Stammwort zum Teil eine verniedlichende oder verächtliche Nebenbedeutung hinzufügen, nämlich: (1) -[l]ino, (2) -etto, (3) -ello, (4) -uccio, (5) -icciòlo, (6) -ùcolo, (7) -[u]olo, (8) -otto, (9) -acchiotto, (10) -iciattolo, (11) -icchio (Giuseppe Patota, Italiano Grammatica, Novara 2006, S. 247 f., Maurizio Dardano/Pietro Rifone, La Nuova Grammatica della lingua italiana, Bologna 1997, S. 538 ff.). Die Bauweisen können überdies zum Teil miteinander zu Doppeldiminutiven kombiniert werden ("tavolinetto", "cagnolino"). Von dieser Auswahl verwenden beide Marken dieselbe nicht-reguläre Diminutivform -ino. Für diese ist typisch, dass sie nicht direkt an alle Substantive, sondern manchmal an ein Zwischenelement angehängt wird, das zum Beispiel "-ol-" lautet (topo ? top-ol-ino, vgl. PATOTA, a.a.O., S. 248). Eine Regel, wann die Endung -ino direkt oder mit Zwischenelement angehängt wird, scheint es nicht zu geben (http://it.wikipedia.org/wiki/Diminutivo#Diminutivo, besucht am 7. September 2010), so dass beide vorliegend zu vergleichenden Wortmarken, Mur-ino und Mur-ol-ino, nach derselben Diminutivbildungsweise korrekt gebildete (wenn auch ungebräuchliche) Diminutive desselben Stammworts "muro" darstellen und mit diesem Sinn verstanden werden.</w:t>
      </w:r>
    </w:p>
    <w:p>
      <w:r>
        <w:rPr>
          <w:b/>
        </w:rPr>
        <w:t>E. 6.3</w:t>
      </w:r>
    </w:p>
    <w:p>
      <w:r>
        <w:t>Angesichts der eindrücklichen Auswahl an nicht-gängigen italienischen Diminutivformen wie muruccio, murolo oder muracchiotto usw. und der einen strengen Beurteilungsmassstab erheischenden Warenidentität ist die Widerspruchsmarke sogar in Anbetracht ihres erheblich eingeschränkten Schutzumfangs vor einer derart unmittelbaren Nachahmung ihrer ungewöhnlichen Diminutivbildung in Schutz zu nehmen. Da der Beschwerdeführerin etliche sprachlich adäquate Alternativen für denselben Sinngehalt zur Verfügung stünden, ist nicht einzusehen, warum sie die von der Beschwerdegegnerin verwendete, als solche unübliche und insoweit kennzeichnungskräftige Wortbildungsweise unmittelbar nachmachen darf. Der grammatikalischen sowie wortarchitektonischen Nähe der zu vergleichenden Wortmarken zufolge, im Zusammenspiel mit ihren Ähnlichkeiten in Klang und Schriftbild, ist damit das Bestehen einer Verwechslungsgefahr zwischen ihnen zu bejahen.</w:t>
      </w:r>
    </w:p>
    <w:p>
      <w:r>
        <w:rPr>
          <w:b/>
        </w:rPr>
        <w:t>E. 7</w:t>
      </w:r>
    </w:p>
    <w:p>
      <w:r>
        <w:t>Die Beschwerde erweist sich demzufolge als unbegründet und ist abzuweisen. Bei diesem Ausgang wird die Beschwerdeführerin kostenpflichtig. Die Beschwerdegegnerin hat Anspruch auf eine angemessene Parteientschädigung (Art. 63 Abs. 1 und Art. 64 Abs. 1 VwVG).</w:t>
      </w:r>
    </w:p>
    <w:p>
      <w:r>
        <w:rPr>
          <w:b/>
        </w:rPr>
        <w:t>E. 7.1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Es sprechen keine konkreten Anhaltspunkte für einen höheren oder niedrigeren Wert der strittigen Marke.</w:t>
      </w:r>
    </w:p>
    <w:p>
      <w:r>
        <w:rPr>
          <w:b/>
        </w:rPr>
        <w:t>E. 7.2</w:t>
      </w:r>
    </w:p>
    <w:p>
      <w:r>
        <w:t>Die Parteientschädigung umfasst die Kosten der Vertretung sowie allfällige weitere notwendige Auslagen der Partei (Art. 8 VGKE). Wurde, wie im vorliegenden Fall, keine Kostennote eingereicht, setzt das Gericht die Entschädigung auf Grund der Akten fest (Art. 14 Abs. 2 VGKE). In Anbetracht der Stellungnahme der Beschwerdegegnerin im einfachen Schriftenwechsel erscheint eine Parteientschädigung von Fr. 1'500.- (inkl. MWST) angemessen.</w:t>
      </w:r>
    </w:p>
    <w:p>
      <w:r>
        <w:rPr>
          <w:b/>
        </w:rPr>
        <w:t>E. 7.3</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