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B-7312/2008 vom 27. März 2009</w:t>
      </w:r>
    </w:p>
    <w:p>
      <w:r>
        <w:t>Bundesverwaltungsgericht, 2009-03-27, DE</w:t>
      </w:r>
    </w:p>
    <w:p>
      <w:r>
        <w:rPr>
          <w:b/>
        </w:rPr>
        <w:t xml:space="preserve">Quelle: </w:t>
      </w:r>
      <w:r>
        <w:t>https://mcp.opencaselaw.ch/entscheid/bvger_B-7312_2008</w:t>
      </w:r>
    </w:p>
    <w:p>
      <w:r>
        <w:t>FR: TAF B-7312/2008 du 27 mars 2009</w:t>
      </w:r>
    </w:p>
    <w:p>
      <w:r>
        <w:t>IT: TAF B-7312/2008 del 27 marzo 2009</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d des Bundesgesetzes vom 17. Juni 2005 über das Bundesverwaltungsgericht, Verwaltungsgerichtsgesetz, VGG, SR 173.32).</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der Vertreter hat sich rechtsgenüglich ausgewiesen (Art. 11 VwVG), und der Kostenvorschuss wurde fristgemäss bezahlt (Art. 63 Abs. 4 VwVG).</w:t>
      </w:r>
    </w:p>
    <w:p>
      <w:r>
        <w:rPr>
          <w:b/>
        </w:rPr>
        <w:t>E. 1.3</w:t>
      </w:r>
    </w:p>
    <w:p>
      <w:r>
        <w:t>Auf die Beschwerde ist deshalb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gegen die Eintragung Widerspruch erheben (Art. 31 Abs. 1 und 2 MSchG). Die Widerspruchsmarke wurde am 5. Mai 1976 in das internationale Register eingetragen, die angefochtene Marke am 26. Juli 2007. Die Vorinstanz ist daher auf den bei ihr fristgerecht und unter Entrichtung der Widerspruchsgebühr (Art. 31 Abs. 2 MschG) eingereichten Widerspruch zu Recht eingetreten.</w:t>
      </w:r>
    </w:p>
    <w:p>
      <w:r>
        <w:rPr>
          <w:b/>
        </w:rPr>
        <w:t>E. 3.1</w:t>
      </w:r>
    </w:p>
    <w:p>
      <w:r>
        <w:t>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 VW, BGE 128 III 441 E. 3.1 - Appenzeller, BGE 127 III 160 E. 2.a -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3.2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 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126 III 315 E. 6.b.bb - apiella, BGE 122 III 382 E. 3.a - Kamillosan). 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(Lucas David, Kommentar zum Markenschutzgesetz, in: Kommentar zum schweizerischen Privatrecht, Markenschutzgesetz/Muster- und Modellgesetz, Basel 1999, Art. 3 N. 35; Entscheid der Rekurskommission für geistiges Eigentum [RKGE] vom vom 1. April 2003 in Zeitschrift für Immaterialgüter-, Informations- und Wettbewerbsrecht [sic!] 2003 709 E. 6 - Targa / Targa [fig.] et al. II, RKGE vom 18. September 2001 in sic! 2002 169 E. 3 - Smirnoff [fig.] / Smirnov [fig.]). Für die Warengleichartigkeit sprechen unter anderem gleiche Herstellungsstätten, gleiches fabrikationsspezifisches Know-how, ähnliche Vertriebskanäle, ähnliche Abnehmerkreise oder das Vorliegen eines ähnlichen Verwendungszweckes (RKGE vom 18. September 2001 in sic! 2002 169 E. 3 - Smirnoff [fig.] / Smirnov [fig.], vgl. auch RKGE vom 16. August 2004 in sic! 2004 863 E. 6 - Harry [fig.] / Harry's Bar Roma [fig.], RKGE vom 25. Juli 2000 in sic! 2000 594 E. 5 - Longlife Valdalpone [fig.] / Longlife developed by Dr. Tork [fig.]).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w:t>
      </w:r>
    </w:p>
    <w:p>
      <w:r>
        <w:rPr>
          <w:b/>
        </w:rPr>
        <w:t>E. 3.3</w:t>
      </w:r>
    </w:p>
    <w:p>
      <w:r>
        <w:t>Die Markenähnlichkeit beurteilt sich nach dem Gesamteindruck, den die Marken in der Erinnerung der angesprochenen Verkehrskreise hinterlassen (BGE 121 III 377 E. 2a - Boss; Eugen Marbach, Markenrecht, in: Roland von Büren/Lucas David [Hrsg.], Schweizerisches Immaterialgüter- und Wettbewerbsrecht, Bd. III Kennzeichenrecht, Basel und Frankfurt a. M. 1996, S. 116; David, a.a.O., Art. 3 N. 11 und 15; Christoph Willi, Markenschutzgesetz, Kommentar zum schweizerischen Markenrecht unter Berücksichtigung des europäischen und internationalen Markenrechts, Zürich 2002, Art. 3, N. 63 und 67). Bei Wortmarken sind deren Klang, das Schriftbild und, gegebenenfalls, der Sinngehalt massgebend (BGE 127 III 160 E. 2.b.cc - Securitas, BGE 122 III 382 E. 5.a - Kamillosan). Dabei genügt es für die Annahme der Ähnlichkeit, wenn diese in Bezug auf nur eines dieser Kriterien bejaht wird (Marbach, a.a.O., S. 118). Der Wortklang wird im Wesentlichen durch die Silbenzahl, die Aussprachekadenz und die Aufeinanderfolge der Vokale bestimmt, das Schriftbild durch die Wortlänge und die optische Wirkung der Buchstaben (BGE 127 III 160 E. 2.b.cc - Securitas, BGE 122 III 382 E. 5.a - Kamillosan, BGE 119 II 473 E. 2.c - Radion). 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 des Bundesverwaltungsgerichts B-7500/2006 vom 19. Dezember 2007 E. 6.4 - Diva Cravatte; RKGE vom 19. August 2005 in sic! 2005 807 E. 8 - DVT Technisches Fernsehen [fig.] / DVT; Marbach, a.a.O., S. 122 f., Willi, a.a.O., Art. 3 N. 143).</w:t>
      </w:r>
    </w:p>
    <w:p>
      <w:r>
        <w:rPr>
          <w:b/>
        </w:rPr>
        <w:t>E. 4</w:t>
      </w:r>
    </w:p>
    <w:p>
      <w:r>
        <w:t>Anders als im von der Beschwerdeführerin erwähnten Urteil des Bundesgerichts, bei dem es um eine Marke für ein orientalisches alkoholisches Getränk ging, das in erster Linie für türkische Konsumenten bestimmt ist (BGE 120 II 144 E. 3.bb - Yeni Raki), lassen sich im vorliegenden Fall die beanspruchten Waren nicht klar mit einer bestimmten Herkunft der Konsumenten in Verbindung bringen. Demzufolge kann der Adressatenkreis nicht auf Russisch sprechende oder aus Russland stammende Konsumenten eingeschränkt werden. Vielmehr ist, wie in den beiden bereits erwähnten Urteilen des Bundesverwaltungsgerichts, in denen es ebenfalls um alkoholische Getränke ging, auch hier davon auszugehen, dass sich das zur Diskussion stehende Warenangebot an den Schweizerischen Durchschnittskonsumenten richtet (vgl. Urteile des Bundesverwaltungsgerichts B-1698/2007 vom 26. Februar 2008 E. 4 - Moskovskaya / moskovskaya (fig.) und B-1427/2007 vom 28. Februar 2008 E. 4 - Kremlyovs-kaya / KP???EBK?).</w:t>
      </w:r>
    </w:p>
    <w:p>
      <w:r>
        <w:rPr>
          <w:b/>
        </w:rPr>
        <w:t>E. 5</w:t>
      </w:r>
    </w:p>
    <w:p>
      <w:r>
        <w:t>Soweit hier interessierend, wird die Widerspruchsmarke für "Brandies" (Klasse 33), die angefochtene Marke für "Boissons alcoolisées (à l'exception des bieres)" (Klasse 33) beansprucht. Da auch "Brandies" unter "boissons alcoolisées" fallen, ist hier, wie die Vorinstanz zu Recht festhält, von einer zumindest hochgradigen Gleichartigkeit der Waren auszugehen, die nicht weiter erläutert werden muss. Angesichts dieses Ergebnisses ist in Bezug auf den Zeichenabstand aber ein strenger Massstab anzulegen (E. 3.2.).</w:t>
      </w:r>
    </w:p>
    <w:p>
      <w:r>
        <w:rPr>
          <w:b/>
        </w:rPr>
        <w:t>E. 6</w:t>
      </w:r>
    </w:p>
    <w:p>
      <w:r>
        <w:t>Im vorliegenden Fall stehen sich die kombinierte internationale Registrierung "IMPERATOR Special Old French Brandy" und die in kyrillischer Schrift dargestellte internationale Registrierung "?????????" (fig.) gegenüber.</w:t>
      </w:r>
    </w:p>
    <w:p>
      <w:r>
        <w:rPr>
          <w:b/>
        </w:rPr>
        <w:t>E. 6.1</w:t>
      </w:r>
    </w:p>
    <w:p>
      <w:r>
        <w:t>Die kombinierte Registrierung der Widerspruchsmarke wird zum einen durch einen Ausschnitt des bekannten Bildes der Selbstkrönung Napoleons zum Kaiser bestimmt, über dem ein kleiner Lorbeerkranz steht, der eine Krone umfasst. Zum anderen enthält die Marke unterhalb des soeben erwähnten Bildes in Grossbuchstaben das lateinische Substantiv "IMPERATOR", das in der Schweiz in allen Landesteilen ohne weiteres als "Feldherr, Kaiser" oder "Herrscher" verstanden wird. Substantiv und Bild werden von einem Loorberkranz umfasst, entlang dessen unterem Rand, in deutlich kleinerer Schrift die Worte "Special Old French Brandy" angebracht sind. Wie die Vorinstanz zu Recht festhält, verleiht diese grafische Gestaltung der Wiederspruchsmarke zwar ein eigenes Gepräge, das nicht ausser Acht gelassen werden darf; mit ihr ist aber auch davon auszugehen, dass sich das Publikum im mündlichen Verkehr vorwiegend am diese Gestaltung stark prägenden Markenbestandteil "IMPERATOR" orientieren wird, zumal die anderen zusätzlichen Wortelemente "Special Old Brandy" rein beschreibender Natur sind und somit nichts zur Unterscheidungskraft der Marke beitragen können. Die angefochtene Marke enthält demgegenüber einzig den in kyrillischer Schrift angebrachten Begriff "Imperator".</w:t>
      </w:r>
    </w:p>
    <w:p>
      <w:r>
        <w:rPr>
          <w:b/>
        </w:rPr>
        <w:t>E. 6.1.1</w:t>
      </w:r>
    </w:p>
    <w:p>
      <w:r>
        <w:t>Gemäss den Richtlinien in Markensachen des Eidgenössischen Instituts für Geistiges Eigentum vom 1. Juli 2008 werden in der Schweiz unübliche Schriften als Bildzeichen behandelt und grundsätzlich als unterscheidungskräftig und nicht freihaltebedürftig erachtet (Teil 4, Ziff. 4.5.6.1). Das Bundesverwaltungsgericht unterscheidet die kyrillische Schrift, deren Buchstaben teilweise denen des lateinischen Alphabets entsprechen, jedoch von anderen Zeichen z.B. jenen der japanischen oder chinesischen Sprache. Dabei geht es davon aus, dass kyrillische Buchstaben in drei Kategorien unterteilt werden können: Buchstaben die dem lateinischen Alphabet entsprechen und gleich ausgesprochen werden, solche, die dem lateinischen Alphabet entsprechen aber anders ausgesprochen werden, und schliesslich diejenigen, die nicht dem lateinischen Alphabet entsprechen. Ausgehend von dieser Unterscheidung sind Wörter in kyrillischer Sprache gemäss dem Bundesverwaltungsgericht auf ihre Lesbarkeit durch die Abnehmerkreise zu prüfen (Urteile des Bundesverwaltungsgerichts B-1698/2007 vom 26. Februar 2008 E. 7 - Moskovskaya / moskovskaya (fig.) und B-1427/2007 vom 28. Februar 2008 E. 7 - Kremlyovskaya / KP???EBK?).</w:t>
      </w:r>
    </w:p>
    <w:p>
      <w:r>
        <w:rPr>
          <w:b/>
        </w:rPr>
        <w:t>E. 6.1.2</w:t>
      </w:r>
    </w:p>
    <w:p>
      <w:r>
        <w:t>Wie bereits erwähnt (vgl. vorangehende E. 4) richtet sich das Warenangebot der vorliegend zu beurteilenden Marken, das aus alkoholischen Getränken besteht, an den Schweizerischen Durchschnittskonsumenten. Gemäss der Rechtsprechung des Bundesverwaltungsgerichts, von der abzuweichen hier keine Veranlassung besteht, können von diesem keine Kenntnisse des kyrillischen Alphabets erwartet werden (vgl. Urteile des Bundesverwaltungsgerichts B-1698/2007 vom 26. Februar 2008 E. 4 - Moskovskaya / moskovskaya (fig.) und B-1427/2007 vom 28. Februar 2008 E. 4 - Kremlyovs- kaya / KPEM???KA). Dass gewisse Konsumenten Kenntnisse der russischen Sprache bzw. der kyrillischen Schrift haben, ist zwar nicht auszuschliessen. Wie das Bundesverwaltungsgericht aber schon in den bereits genannten Urteilen feststellte, handelt es sich hierbei um eine Minderheit der Konsumenten, auf deren Sichtweise nicht abzustellen ist (Urteile des Bundesverwaltungsgericht B-1698/2007 vom 26. Februar 2008 E. 8 in fine - Moskovskaya / moskovskaya (fig.) und B-1427/2007 vom 28. Februar 2008 E. 8 in fine - Kremlyovskaya / KP???EBK?; anders offenbar RKGE vom 18. September 2002 in sic! 2002 169 E. 7 - Smirnoff [fig.] / Smirnov [fig.]).</w:t>
      </w:r>
    </w:p>
    <w:p>
      <w:r>
        <w:rPr>
          <w:b/>
        </w:rPr>
        <w:t>E. 6.1.3</w:t>
      </w:r>
    </w:p>
    <w:p>
      <w:r>
        <w:t>Die Buchstaben "M", "E", "A", "T" und "O" entsprechen in ihrer Aussprache und Bedeutung denjenigen des lateinischen Alphabets. Der zweimal verwendete Buchstabe "?" entspricht zwar dem lateinischen "P", wird aber als "R" ausgesprochen. "?" (mit der Bedeutung "I") und "?" (mit der Bedeutung "P") hingegen entsprechen keinem Buchstaben im lateinischen Alphabet (vgl. Transliteration und Transkription des russischen Alphabets in: Peter Rehder Hrsg., Einführung in die slavischen Sprachen, 1991 Darmstadt, S. 51).</w:t>
      </w:r>
    </w:p>
    <w:p>
      <w:r>
        <w:rPr>
          <w:b/>
        </w:rPr>
        <w:t>E. 6.1.4</w:t>
      </w:r>
    </w:p>
    <w:p>
      <w:r>
        <w:t>Somit ist davon auszugehen, dass der Schweizer Durchschnittskonsument zwar die Buchstaben "M", "E", "A", "T" und "O" verstehen und auch richtig aussprechen kann, den Buchstaben "P" aber falsch (als "p" statt "r") ausspricht und "?" wie auch "?" überhaupt nicht versteht. Die Marke ????????? dürfte daher vom Durchschnittskonsumenten als "-m-epatop" gelesen werden, was die Zuordnung eines Sinngehaltes offensichtlich ausschliesst.</w:t>
      </w:r>
    </w:p>
    <w:p>
      <w:r>
        <w:rPr>
          <w:b/>
        </w:rPr>
        <w:t>E. 6.2</w:t>
      </w:r>
    </w:p>
    <w:p>
      <w:r>
        <w:t>Mit der Vorinstanz ist damit davon auszugehen, dass sich die beiden hier zur Diskussion stehenden Marken sowohl bezüglich ihrer grafischen Ausgestaltung als auch in (schrift-)bildlicher und klanglicher Hinsicht sowie in ihrem Sinngehalt unterscheiden.</w:t>
      </w:r>
    </w:p>
    <w:p>
      <w:r>
        <w:rPr>
          <w:b/>
        </w:rPr>
        <w:t>E. 7</w:t>
      </w:r>
    </w:p>
    <w:p>
      <w:r>
        <w:t>Unter diesen Umständen hat die Vorinstanz dem Widerspruch zu Recht nicht stattgegeben. Die sich gegen diesen Entscheid richtende Beschwerde ist abzuweisen.</w:t>
      </w:r>
    </w:p>
    <w:p>
      <w:r>
        <w:rPr>
          <w:b/>
        </w:rPr>
        <w:t>E. 8</w:t>
      </w:r>
    </w:p>
    <w:p>
      <w:r>
        <w:t>Bei diesem Ausgang des Verfahrens sind die Verfahrenskosten der Beschwerdeführerin aufzuerlegen (Art. 63 Abs. 1 VwVG).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 Turbinenfuss [3D], mit Hinweisen). Von diesem Erfahrungswert ist auch im vorliegenden Verfahren auszugehen. Eine Parteientschädigung wird nicht zugesprochen (Art. 64 Abs. 1 VwVG, Art. 7 Abs. 1 VGKE).</w:t>
      </w:r>
    </w:p>
    <w:p>
      <w:r>
        <w:rPr>
          <w:b/>
        </w:rPr>
        <w:t>E. 9</w:t>
      </w:r>
    </w:p>
    <w:p>
      <w:r>
        <w:t>Wer an einem Verwaltungs- oder Gerichtsverfahren nach dem Markenschutzgesetz beteiligt ist und in der Schweiz keinen Wohnsitz oder Sitz hat, muss einen hier niedergelassenen Vertreter bestellen (Art. 42 Abs. 1 MSchG). Die Beschwerdegegnerin gab der Aufforderung, einen in der Schweiz niedergelassenen Rechtsvertreter zu bezeichnen, keine Folge. Der Beschwerdegegnerin wird der Entscheid daher, sofern dessen Übermittlung durch den diplomatischen Weg scheitern sollte, durch Publikation im Bundesblatt eröffnet (vgl. Art. 36 Bst. b VwVG).</w:t>
      </w:r>
    </w:p>
    <w:p>
      <w:r>
        <w:rPr>
          <w:b/>
        </w:rPr>
        <w:t>E. 10</w:t>
      </w:r>
    </w:p>
    <w:p>
      <w:r>
        <w:t>Gegen dieses Urteil steht keine Beschwerde ans Bundesgericht offen (Art. 73 des Bundesgesetz vom 17. Juni 2005 über das Bundesgericht Bundesgerichtsgesetz,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