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B-721/2021 vom 10. Februar 2022</w:t>
      </w:r>
    </w:p>
    <w:p>
      <w:r>
        <w:t>Bundesverwaltungsgericht, 2022-02-10, IT</w:t>
      </w:r>
    </w:p>
    <w:p>
      <w:r>
        <w:rPr>
          <w:b/>
        </w:rPr>
        <w:t xml:space="preserve">Quelle: </w:t>
      </w:r>
      <w:r>
        <w:t>https://mcp.opencaselaw.ch/entscheid/bvger_B-721_2021</w:t>
      </w:r>
    </w:p>
    <w:p>
      <w:r>
        <w:t>FR: TAF B-721/2021 du 10 février 2022</w:t>
      </w:r>
    </w:p>
    <w:p>
      <w:r>
        <w:t>IT: TAF B-721/2021 del 10 febbraio 2022</w:t>
      </w:r>
    </w:p>
    <w:p>
      <w:pPr>
        <w:pStyle w:val="Heading2"/>
      </w:pPr>
      <w:r>
        <w:t>Regeste</w:t>
      </w:r>
    </w:p>
    <w:p>
      <w:r>
        <w:t>Riconoscimento diploma/formazione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Giusta l'art. 33 lett. d LTAF (in collegamento con l'art. 37 LTAF e l'art. 44 PA) il ricorso è ammissibile contro le decisioni della Cancelleria federale, dei dipartimenti e dei servizi dell'Amministrazione federale loro subordinati o aggregati amministrativamente. Nell'evenienza, non sussistono eccezioni a norma dell'art. 32 LTAF.</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PA).</w:t>
      </w:r>
    </w:p>
    <w:p>
      <w:r>
        <w:rPr>
          <w:b/>
        </w:rPr>
        <w:t>E. 1.4</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Pertanto, nulla osta alla ricevibilità del ricorso.</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2.1</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e 130 III 176 consid. 1.2 con rinvii; sentenze del TAF B-4380/2016 del 13 agosto 2018 consid. 6.1.2, B-628/2014 del 28 novembre 2017 consid. 5.2.1, B-4243/2015 del 13 giugno 2017 consid. 4.1.1 e B-4920/2015 del 2 febbraio 2017 consid. 5.2).</w:t>
      </w:r>
    </w:p>
    <w:p>
      <w:r>
        <w:rPr>
          <w:b/>
        </w:rPr>
        <w:t>E. 2.2</w:t>
      </w:r>
    </w:p>
    <w:p>
      <w:r>
        <w:t>Per quanto riguarda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allorquando segnatamente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 Ai fini del presente giudizio vale la pena qui ricordare che la procedura amministrativa è retta dal principio dell'applicazione d'ufficio del diritto (iura novit curia), che impone all'autorità competente di esaminare liberamente la situazione giuridica, nonché applicare il diritto che considera determinante e di darne l'interpretazione di cui è convinta (art. 62 cpv. 4 PA; DTF 110 V 48 consid. 4a; Thomas Häberli, in: Waldmann/Weissenberger [ed.], Praxiskommentar VwVG, 2a ed. 2016, art. 62 marg. 42 e segg.). Nell'effettuare tale applicazione, l'autorità competente non è vincolata dai motivi invocati dalle parti, né dall'opinione espressa da precedenti istanze di giudizio, bensì dal principio inquisitorio, in base al quale l'autorità amministrativa ha l'obbligo di accertare d'ufficio i fatti determinanti per la decisione (cfr. DTAF 2007/41 consid. 2; Moor/Poltier, Droit administratif, vol. II, 3a ed. 2011, n. 2.2.6.5, pag. 300).</w:t>
      </w:r>
    </w:p>
    <w:p>
      <w:r>
        <w:rPr>
          <w:b/>
        </w:rPr>
        <w:t>E. 2.3</w:t>
      </w:r>
    </w:p>
    <w:p>
      <w:r>
        <w:t>Per quanto concerne l'inadeguatezza (art. 49 lett. c PA), l'istanza di ricorso può limitare il proprio 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(DTF 139 II 145 consid. 5 e 131 II 680 consid. 2.3.2; DTAF 2008/23 consid. 3.3 con rinvii; Moser/Beusch/Kneubühler, Prozessieren vor dem Bundesverwaltungsgericht, 2a ed. 2013, marg. 2.154 con rinvii). Pertanto, quando si tratta di questioni tecniche o di interpretazione, secondo la dottrina e la giurisprudenza, il Tribunale stesso deve esercitare una certa limitazione nell'esame dell'interpretazione, nonché dell'applicazione di termini giuridici indefiniti e concedere all'autorità inferiore un certo margine di apprezzamento, se quest'ultima è più vicina alle circostanze locali, tecniche o personali, nonché se si tratta di valutare questioni tecniche (cfr. sentenza del TAF B-6791/2009 dell'8 novembre 2010 consid. 3.1 con rinvii; Moser/Beusch/Kneubühler, Prozessieren vor dem Bundesverwaltungsgericht, 2a ed. 2013, marg. 2.155a con rinvii).</w:t>
      </w:r>
    </w:p>
    <w:p>
      <w:r>
        <w:rPr>
          <w:b/>
        </w:rPr>
        <w:t>E. 3</w:t>
      </w:r>
    </w:p>
    <w:p>
      <w:r>
        <w:t>Il ricorrente censura sostanzialmente un errore da parte della SEFRI nell'apprezzamento dei fatti ed un'errata applicazione del diritto. Tali rimproveri, in relazione segnatamente alla domanda se la SEFRI sia competente per giudicare la richiesta di riconoscimento di diploma del ricorrente, in collegamento con la questione se la professione di ingegnere agronomo costituisca una professione regolamentata ai sensi della direttiva 2005/36/CE, rappresentano questioni formali. Pertanto, il Tribunale deve esaminarle con pieno potere di cognizione.</w:t>
      </w:r>
    </w:p>
    <w:p>
      <w:r>
        <w:rPr>
          <w:b/>
        </w:rPr>
        <w:t>E. 4.1</w:t>
      </w:r>
    </w:p>
    <w:p>
      <w:r>
        <w:t>Nell'ambito del riconoscimento di diplomi, è necessario fare la distinzione tra professione regolamentata e formazione regolamentata. Tali nozioni non devono essere confuse tra di loro.</w:t>
      </w:r>
    </w:p>
    <w:p>
      <w:r>
        <w:rPr>
          <w:b/>
        </w:rPr>
        <w:t>E. 4.1.1</w:t>
      </w:r>
    </w:p>
    <w:p>
      <w:r>
        <w:t>La professione regolamentata è definita nel diritto europeo come "attività, o insieme di attività professionali, l'accesso alle quali e il cui esercizio, o una delle cui modalità di esercizio, sono subordinati direttamente o indirettamente, in forza di norme legislative, regolamentari o amministrative, al possesso di determinate qualifiche professionali; in particolare costituisce una modalità di esercizio l'impiego di un titolo professionale riservato da disposizioni legislative, regolamentari o amministrative a chi possiede una specifica qualifica professionale. Quando non si applica la prima frase, è assimilata ad una professione regolamentata una professione di cui al paragrafo 2" (art. 3 cpv. 1 lett. a della direttiva 2005/36/CE). Le qualifiche professionali, invece, sono definite come le qualifiche attestate da un titolo di formazione, un attestato di competenza - di cui all'articolo 11, lettera a), punto i) - e/o un'esperienza professionale (art. 3 cpv. 1 lett. b della direttiva 2005/36/CE; cfr. sentenza del TAF B-6186/2020 del 26 agosto 2021 consid. 2.3.1).</w:t>
      </w:r>
    </w:p>
    <w:p>
      <w:r>
        <w:rPr>
          <w:b/>
        </w:rPr>
        <w:t>E. 4.1.2</w:t>
      </w:r>
    </w:p>
    <w:p>
      <w:r>
        <w:t>La formazione regolamentata è definita nel diritto europeo come qualsiasi formazione specificamente orientata all'esercizio di una professione determinata e consistente in un ciclo di studi completato, eventualmente, da una formazione professionale, un tirocinio professionale o una pratica professionale (art. 3 cpv. 1 lett. e della direttiva 2005/36/CE). Pertanto, la nozione di formazione regolamentata è definita essenzialmente da due aspetti: in primo luogo, è disciplinata da leggi, regolamenti o disposizioni amministrative che ne determinano, tra l'altro, il livello, la struttura e la durata. In secondo luogo, è destinata all'esercizio di una professione specifica. Deve quindi essere "professionalizzante" e non consistere, ad esempio, in un ciclo di formazione generale che, anche se regolato da disposizioni legislative, regolamentari o amministrative, non prepara gli studenti all'esercizio di una professione specifica. L'esempio classico potrebbe essere la maturità che non prepara all'esercizio di una determinata professione (cfr. Frédéric Berthoud, Commentaire de l'ATF 134 II 341, Pratique juridique actuelle [PJA] 2009 pag. 515 e segg., [in seguito: Berthoud, Commentaire]). La regolamentazione della formazione è indipendente dalla regolamentazione dell'esercizio della professione. Infatti, è perfettamente possibile che l'esercizio di una professione non sia regolamentato, ma che la formazione corrispondente sia, invece, regolamentata (cfr. sentenze del TAF B-3966/2017 dell'11 settembre 2019 consid. 2.3.1, B-5572/2013 del 14 luglio 2015 consid. 3.2 e B-2831/2010 del 2 novembre 2010 consid. 2.3; Berthoud, Commentaire, pag. 517).</w:t>
      </w:r>
    </w:p>
    <w:p>
      <w:r>
        <w:rPr>
          <w:b/>
        </w:rPr>
        <w:t>E. 4.2</w:t>
      </w:r>
    </w:p>
    <w:p>
      <w:r>
        <w:t>Nel quadro del riconoscimento di titoli esteri, è necessario stabilire quali normative legali siano pertinenti e applicabili, esaminando se ed in che modo la professione in questione sia regolamentata nello Stato ospitante. Infatti, sono subordinate alla direttiva 2005/36/CE, solo professioni regolamentate nello Stato ospitante (art. 2 cpv. 1). È decisiva, dunque, la domanda se la professione in questione sia regolamentata in Svizzera, e sia, quindi, subordinata alla direttiva 2005/36/CE oppure no, permettendone l'accesso e l'esercizio sul territorio elvetico, senza alcun riconoscimento di diploma.</w:t>
      </w:r>
    </w:p>
    <w:p>
      <w:r>
        <w:rPr>
          <w:b/>
        </w:rPr>
        <w:t>E. 4.2.1</w:t>
      </w:r>
    </w:p>
    <w:p>
      <w:r>
        <w:t>La SEFRI, sul proprio sito web, ha pubblicato l'Elenco delle professioni / attività regolamentate in Svizzera (&lt;https://www.sbfi.admin.ch/sbfi/it/home/formazione/riconoscimento-dei-diplomi-esteri/procedura-di-riconoscimento-in-caso-di-stabilimento/professioni-regolamentate.html&gt;, versione settembre 2021; consultato il 14 gennaio 2022; cfr. anche sentenze del TAF B-2701/2016 del 18 dicembre 2018 consid. 5.2 e B-2586/2014 del 13 ottobre 2014 consid. 2.2).</w:t>
      </w:r>
    </w:p>
    <w:p>
      <w:r>
        <w:rPr>
          <w:b/>
        </w:rPr>
        <w:t>E. 4.2.2</w:t>
      </w:r>
    </w:p>
    <w:p>
      <w:r>
        <w:t>Nel caso concreto, l'esercizio della professione di ingegnere agronomo non è contenuto nell'elenco di cui sopra, risultando, così, una professione non regolamentata in Svizzera a livello federale, per la quale non sono necessari una formazione o un diploma particolari. Si tratta, quindi, di una professione il cui esercizio in Svizzera è di per sé libero.</w:t>
      </w:r>
    </w:p>
    <w:p>
      <w:r>
        <w:rPr>
          <w:b/>
        </w:rPr>
        <w:t>E. 4.3</w:t>
      </w:r>
    </w:p>
    <w:p>
      <w:r>
        <w:t>Tuttavia, restano riservate le disposizioni cantonali e comunali, le quali possono regolamentare determinate professioni. Secondo l'elenco di cui sopra, la professione di ingegnere civile, di cui l'ingegnere agronomo potrebbe far parte, è regolamentata in alcuni Cantoni, tra cui nel Cantone Ticino.</w:t>
      </w:r>
    </w:p>
    <w:p>
      <w:r>
        <w:rPr>
          <w:b/>
        </w:rPr>
        <w:t>E. 4.3.1</w:t>
      </w:r>
    </w:p>
    <w:p>
      <w:r>
        <w:t>Nel Cantone Ticino, la LEPIA si prefigge di promuovere la dignità e il corretto esercizio delle professioni di ingegnere e di architetto, stabilendo, in particolare, le condizioni per essere ammessi ad esercitare tali professioni nel Cantone (art. 1 LEPIA). Giusta i combinati art. 2 e 3 cpv. 1 LEPIA, in Ticino l'esercizio delle professioni di ingegnere e architetto soggiace, nei limiti dei campi di attività dei gruppi professionali e delle disposizioni previste da leggi speciali, all'ottenimento di un'autorizzazione, rilasciata dall'OTIA, e per esso dal Consiglio dell'ordine (art. 15 cpv. 3 lett. c LEPIA). Tale autorizzazione viene rilasciata se il richiedente è in possesso dei dovuti requisiti professionali e se adempie le condizioni personali stabilite dalla legge (art. 4 cpv. 1 LEPIA). Per quanto concerne in particolare i primi, l'art. 5 cpv. 1 LEPIA stabilisce che dispongono dei necessari requisiti professionali coloro che sono in possesso di un titolo di studio conferito da una scuola politecnica federale o da una scuola svizzera o estera equivalente (lett. a), coloro che sono in possesso di un titolo di studio conferito da una scuola universitaria professionale o da una scuola superiore svizzera o estera equivalente (lett. b), gli iscritti nel Registro A degli ingegneri e degli architetti (lett. c) e gli iscritti nel Registro B degli ingegneri e degli architetti (lett. d). Giusta l'art. 5 cpv. 2 LEPIA, dispongono pure dei requisiti per il rilascio dell'autorizzazione all'esercizio della professione le persone abilitate in base ad un diritto acquisito. Le persone in possesso dell'autorizzazione vengono iscritte nell'Albo cantonale degli ingegneri e degli architetti e hanno il diritto di qualificarsi come ingegnere o architetto OTIA (art. 3 cpv. 4 LEPIA). Giusta l'art. 7 cpv. 1 LEPIA, gli ingegneri e gli architetti provenienti da altri Cantoni o Stati che intendono esercitare la professione in Ticino, sottostanno pure alle disposizioni della LEPIA. Riservati gli accordi internazionali stipulati dalla Confederazione, per coloro che provengono da Stati esteri, l'esercizio di queste professioni è subordinato alla garanzia della reciprocità e della dimostrazione del possesso dei requisiti professionali e personali equivalenti a quelli stabiliti dalla LEPIA (cpv. 2). Circa la domanda di autorizzazione (art. 4 cpv. 2 LEPIA), all'art. 1 cpv. 1 RLepia è stabilito che chi intende ottenere l'autorizzazione ad esercitare la professione di ingegnere o di architetto nel Cantone deve presentare domanda scritta al Consiglio dell'Ordine degli ingegneri e degli architetti (OTIA), corredata dai seguenti documenti: a) apposito formulario, debitamente compilato, dal quale risultino i dati personali e professionali di cui all'art. 9 cpv. 2 Lepia; b) eventuale estratto dal Registro di commercio (art. 3 cpv. 2 e 9 cpv. 2 lett. c Lepia); c) copia dei titoli di studio (art. 5 cpv. 1 lett. a e b, art. 7 cpv. 2 Lepia) o dei certificati di iscrizione al REG (art. 5 cpv. 1 lett. c e d Lepia) o degli atti attestanti il diritto ad esercitare la professione in base ad un diritto acquisito (art. 5 cpv. 2 Lepia); d) certificati in originale che attestino il possesso dei requisiti personali di cui all'art. 6 Lepia (estratto dal casellario giudiziale e attestazione dell'Ufficio di esecuzione del domicilio o sede). Giusta l'art. 1 cpv. 2 RLepia, il Consiglio dell'OTIA può inoltre richiedere la presentazione di ogni ulteriore documento ritenuto utile per valutare l'adempimento dei requisiti professionali e personali, segnatamente ai fini della verifica dell'equivalenza dei requisiti di coloro che provengono da altri Cantoni o Stati (art. 7 LEPIA). I gruppi professionali di cui all'art. 3 cpv. 1 LEPIA, sono così definiti all'art. 4 cpv. 1 RLepia: "architettura", "ingegneria civile", "tecnica e industria", "acqua, aria e suolo". I campi d'attività sono definiti dal Consiglio dell'OTIA (cpv. 2). Sul sito dell'OTIA è possibile trovare una lista delle professioni per le quali è necessaria un'autorizzazione, ovvero dei gruppi professionali e i relativi campi di attività OTIA. Nel gruppo professionale di "acqua, aria e suolo" vi è, tra gli altri, l'agronomia.</w:t>
      </w:r>
    </w:p>
    <w:p>
      <w:r>
        <w:rPr>
          <w:b/>
        </w:rPr>
        <w:t>E. 4.3.2</w:t>
      </w:r>
    </w:p>
    <w:p>
      <w:r>
        <w:t>Dunque, nella fattispecie, a livello cantonale, l'esercizio della professione di ingegnere agronomo risulta regolamentato, nella misura in cui è necessaria un'autorizzazione da parte dell'OTIA, autorità competente per la valutazione dell'adempimento dei requisiti professionali e personali, nonché della verifica dell'equivalenza dei requisiti di coloro che provengono da altri Cantoni o Stati.</w:t>
      </w:r>
    </w:p>
    <w:p>
      <w:r>
        <w:rPr>
          <w:b/>
        </w:rPr>
        <w:t>E. 4.4</w:t>
      </w:r>
    </w:p>
    <w:p>
      <w:r>
        <w:t>Tuttavia, una regolamentazione cantonale non corrisponde automaticamente ad una regolamentazione ai sensi della direttiva 2005/36/CE.</w:t>
      </w:r>
    </w:p>
    <w:p>
      <w:r>
        <w:rPr>
          <w:b/>
        </w:rPr>
        <w:t>E. 4.4.1</w:t>
      </w:r>
    </w:p>
    <w:p>
      <w:r>
        <w:t>Per quanto concerne la questione se la professione di ingegnere agronomo rappresenti una professione regolamentata ai sensi della direttiva 2005/36/CE, va qui ribadito che la nozione di professione regolamentata è definita essenzialmente da due aspetti: in primo luogo, è disciplinata da leggi, regolamenti o disposizioni amministrative che determinano esplicitamente la professione regolamentata. In secondo luogo, deve essere esplicitamente indicato quale qualifica professionale specifica è richiesta per poter esercitare detta professione.</w:t>
      </w:r>
    </w:p>
    <w:p>
      <w:r>
        <w:rPr>
          <w:b/>
        </w:rPr>
        <w:t>E. 4.4.2</w:t>
      </w:r>
    </w:p>
    <w:p>
      <w:r>
        <w:t>Nella fattispecie, la LEPIA non designa quale titolo di studi sia richiesto per poter ottenere l'autorizzazione all'esercizio dell'attività di ingegnere agronomo neI Cantone Ticino, bensì, stabilisce esclusivamente il livello di formazione richiesto, in casu, il livello terziario (art. 5 cpv. 1 lett. a-b LEPIA).</w:t>
      </w:r>
    </w:p>
    <w:p>
      <w:r>
        <w:rPr>
          <w:b/>
        </w:rPr>
        <w:t>E. 4.4.3</w:t>
      </w:r>
    </w:p>
    <w:p>
      <w:r>
        <w:t>Pertanto, come correttamente concluso dall'autorità inferiore, la professione di ingegnere agronomo non adempie le condizioni per poter essere considerata una professione regolamentata ai sensi della direttiva 2005/36/CE.</w:t>
      </w:r>
    </w:p>
    <w:p>
      <w:r>
        <w:rPr>
          <w:b/>
        </w:rPr>
        <w:t>E. 4.4.4</w:t>
      </w:r>
    </w:p>
    <w:p>
      <w:r>
        <w:t>La questione se l'autorizzazione, richiesta dalla LEPIA, per l'esercizio della professione di ingegnere agronomo sia conforme al diritto federale e alla Costituzione non è oggetto del presente litigio e può, pertanto, restare indecisa.</w:t>
      </w:r>
    </w:p>
    <w:p>
      <w:r>
        <w:rPr>
          <w:b/>
        </w:rPr>
        <w:t>E. 5</w:t>
      </w:r>
    </w:p>
    <w:p>
      <w:r>
        <w:t>Alla luce dei considerandi precedenti, lo scrivente Tribunale giunge alla conclusione che, nella misura in cui l'autorità inferiore ha rifiutato al ricorrente il riconoscimento del suo diploma, in quanto non competente, la medesima non ha violato il diritto federale, ma ha rispettato i limiti del proprio potere d'apprezzamento e del principio della proporzionalità (art. 49 lett. a), ha accertato in maniera esatta e completa i fatti qui rilevanti (art. 49 lett. b) ed ha rispettato il principio dell'adeguatezza (art. 49 lett. c). Pertanto, il ricorso è respinto e la decisione impugnata del 19 gennaio 2021 è confermata.</w:t>
      </w:r>
    </w:p>
    <w:p>
      <w:r>
        <w:rPr>
          <w:b/>
        </w:rPr>
        <w:t>E. 6</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(cfr. consid. 5), le spese del procedimento davanti al Tribunale vengono fissate a fr. 1'500.- e sono poste a carico del ricorrente, totalmente soccombente. Tale cifra verrà compensata, dopo la crescita in giudicato della presente sentenza, dall'anticipo di fr. 1'500.- già versato dal ricorrente, in data 23 febbraio 2021.</w:t>
      </w:r>
    </w:p>
    <w:p>
      <w:r>
        <w:rPr>
          <w:b/>
        </w:rPr>
        <w:t>E. 7</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 ricorrente, totalmente soccombente, non si assegna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