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B-7196/2015 vom 3. Oktober 2017</w:t>
      </w:r>
    </w:p>
    <w:p>
      <w:r>
        <w:t>Bundesverwaltungsgericht, 2017-10-03, DE</w:t>
      </w:r>
    </w:p>
    <w:p>
      <w:r>
        <w:rPr>
          <w:b/>
        </w:rPr>
        <w:t xml:space="preserve">Quelle: </w:t>
      </w:r>
      <w:r>
        <w:t>https://mcp.opencaselaw.ch/entscheid/bvger_B-7196_2015</w:t>
      </w:r>
    </w:p>
    <w:p>
      <w:r>
        <w:t>FR: TAF B-7196/2015 du 3 octobre 2017</w:t>
      </w:r>
    </w:p>
    <w:p>
      <w:r>
        <w:t>IT: TAF B-7196/2015 del 3 ottobre 2017</w:t>
      </w:r>
    </w:p>
    <w:p>
      <w:pPr>
        <w:pStyle w:val="Heading2"/>
      </w:pPr>
      <w:r>
        <w:t>Regeste</w:t>
      </w:r>
    </w:p>
    <w:p>
      <w:r>
        <w:t>Absolute Ausschlussgründe</w:t>
      </w:r>
    </w:p>
    <w:p>
      <w:pPr>
        <w:pStyle w:val="Heading2"/>
      </w:pPr>
      <w:r>
        <w:t>Erwägungen</w:t>
      </w:r>
    </w:p>
    <w:p>
      <w:r>
        <w:rPr>
          <w:b/>
        </w:rPr>
        <w:t>E. 1.1</w:t>
      </w:r>
    </w:p>
    <w:p>
      <w:r>
        <w:t>Das Bundesverwaltungsgericht ist zur Beurteilung gegen Eintragungsverfügungen der Vorinstanz in Markensachen zuständig (Art. 31, Art. 32 und Art. 33 Bst. e des Bundesgesetz vom 17. Juni 2005 über das Bundesverwaltungsgericht [Verwaltungsgerichtsgesetz, VGG, SR 173.32]).</w:t>
      </w:r>
    </w:p>
    <w:p>
      <w:r>
        <w:rPr>
          <w:b/>
        </w:rPr>
        <w:t>E. 1.2</w:t>
      </w:r>
    </w:p>
    <w:p>
      <w:r>
        <w:t>Die Beschwerdeführerin ist Adressatin der angefochtenen Verfügung, durch diese beschwert und hat ein schutzwürdiges Interesse an Ihrer Aufhebung oder Änderung. Sie ist daher zur Beschwerdeführung legitimiert (Art. 48 Abs. 1 Bundesgesetz vom 20. Dezember 1968 über das Verwaltungsverfahren [Verwaltungsverfahrensgesetz, VwVG, SR 172.021]). Eingabefrist und -form sind gewahrt (Art. 50 Abs. 1 und Art. 52 Abs. 1 VwVG), der Kostenvorschuss wurde fristgerecht bezahlt (Art. 3 Abs. 4 VwVG), und die übrigen Sachurteilsvoraussetzungen liegen vor (Art. 44 ff. VwVG).</w:t>
      </w:r>
    </w:p>
    <w:p>
      <w:r>
        <w:rPr>
          <w:b/>
        </w:rPr>
        <w:t>E. 1.3</w:t>
      </w:r>
    </w:p>
    <w:p>
      <w:r>
        <w:t>Auf die Beschwerde ist somit einzutreten.</w:t>
      </w:r>
    </w:p>
    <w:p>
      <w:r>
        <w:rPr>
          <w:b/>
        </w:rPr>
        <w:t>E. 2.1</w:t>
      </w:r>
    </w:p>
    <w:p>
      <w:r>
        <w:t>Marken sind Zeichen, die geeignet sind, Waren oder Dienstleistungen eines Unternehmens von solchen anderer Unternehmen zu unterscheiden (Art. 1 Abs. 1 des Markenschutzgesetzes vom 28. August 1992 [MSchG, SR 232.11]). Vom Markenschutz ausgeschlossen sind gemäss Art. 2 MSchG unter anderem Zeichen, die Gemeingut sind, es sei denn, dass sie sich als Marke für die Waren und Dienstleistungen, für die sie beansprucht werden, durchgesetzt haben.</w:t>
      </w:r>
    </w:p>
    <w:p>
      <w:r>
        <w:rPr>
          <w:b/>
        </w:rPr>
        <w:t>E. 2.2</w:t>
      </w:r>
    </w:p>
    <w:p>
      <w:r>
        <w:t>Der Begriff Zeichen des Gemeinguts in Art. 2 Bst. a MSchG ist ein Sammelbegriff für Sachbezeichnungen, beschreibende Angaben, geografische Herkunftsangaben, Freizeichen sowie für elementare Zeichen. Der Schutzausschluss ist im Freihaltebedürfnis oder in der fehlenden Unterscheidungskraft des Zeichens begründet (BGE 118 II 181 E. 3 "Duro"; Urteil des Bundesverwaltungsgerichts B-1580/2008 vom 19. Mai 2009 E. 2.1 "A-Z", mit Hinweisen; Matthias Städeli / Simone Brauchbar Birkhäuser, in: Basler Kommentar, Markenschutzgesetz, 2017, Art. 2 MSchG Rz. 34ff.).</w:t>
      </w:r>
    </w:p>
    <w:p>
      <w:r>
        <w:rPr>
          <w:b/>
        </w:rPr>
        <w:t>E. 2.3</w:t>
      </w:r>
    </w:p>
    <w:p>
      <w:r>
        <w:t>Zum Gemeingut gehören gemäss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(BGE 135 III 359 E. 2.5.5 [akustische Marke] mit Verweis auf BGE 131 III 495 E. 5 "Felsenkeller", BGE 129 III 514 E. 4.1 "Lego" und BGE 128 III 454 E. 2.1 "Yukon").</w:t>
      </w:r>
    </w:p>
    <w:p>
      <w:r>
        <w:rPr>
          <w:b/>
        </w:rPr>
        <w:t>E. 2.4</w:t>
      </w:r>
    </w:p>
    <w:p>
      <w:r>
        <w:t>Nach Rechtsprechung und Literatur gehören zu den nicht schutzfähigen Angaben auch Angaben zu Form, Verpackung oder Ausstattung, wenn sie Elemente aufnehmen, die bei diesen Waren allgemein üblich sind oder damit auf verwendungsmässige Vorteile hingewiesen wird (BGE 116 II 609 E. 2b "Fiorettino", mit Hinweisen; Urteil des Bundesverwaltungsgerichts B-2514/2008 vom 15 Mai 2009 E. 3.2 "Magnum", mit Hinweisen und Beispielen; Eugen Marbach, in: Schweizerisches Immaterialgüter- und Wettbewerbsrecht, Bd. III/1, Markenrecht, 2. Aufl. 2009, Rz. 313f.; Matthias Städeli / Simone Brauchbar Birkhäuser, in: Basler Kommentar, Markenschutzgesetz, 2017, Art. 2 MSchG Rz. 91ff.). Unbestimmte Bezeichnungen, namentlich Farbangaben, sind schutzfähig, büssen den Schutz jedoch ganz oder teilweise ein, wenn sie mit einem beschreibenden Sinngehalt verstanden werden, am betreffenden Markt oft vorkommen oder anpreisend wirken (David Aschmann, in: Markenschutzgesetz [MSchG], 2009, Art. 2 lit. a Rz. 173; Eugen Marbach, in: Schweizerisches Immaterialgüter- und Wettbewerbsrecht, Bd. III/1, Markenrecht, 2. Aufl. 2009, Rz. 314).</w:t>
      </w:r>
    </w:p>
    <w:p>
      <w:r>
        <w:rPr>
          <w:b/>
        </w:rPr>
        <w:t>E. 2.5</w:t>
      </w:r>
    </w:p>
    <w:p>
      <w:r>
        <w:t>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Waren oder Dienstleistungen aufgefasst wird (Urteil des Bundesgerichts 4C.439/2006 vom 4. April 2007 E. 5..1 "Eurojobs", mit Verweis auf BGE 108 II 487 E. 3 "Vantage", BGE 104 ib 65 E. 2 "Oister Foam", BGE 103 II 339 E. 4c "More"; Urteil des Bundesgerichts 4A.5/2003 vom 22. Dezember 2003 E. 3.1 "Discovery Travel &amp; Adventure Channel" in; sic! 2004, 400; Urteil des Bundesverwaltungsgerichts B-5168/2011 vom 13. März 2013 E. 3.4ff. "Black Label").</w:t>
      </w:r>
    </w:p>
    <w:p>
      <w:r>
        <w:rPr>
          <w:b/>
        </w:rPr>
        <w:t>E. 2.6</w:t>
      </w:r>
    </w:p>
    <w:p>
      <w:r>
        <w:t>Marken sind im Gesamteindruck aus der Sicht der Abnehmerkreise zu beurteilen, an die das Angebot der Waren oder Dienstleistungen gerichtet ist (Eugen Marbach, in: Schweizerisches Immaterialgüter- und Wettbewerbsrecht, Bd. III/1, Markenrecht, 2. Aufl. 2009, Rz. 864ff.). Das Kriterium für die leichte Erkennbarkeit des beschreibenden Charakters bilden die im Einzelfall beanspruchten Waren oder Dienstleistungen.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E. 3.3 "Firemaster" in: sic! 2005, 278).</w:t>
      </w:r>
    </w:p>
    <w:p>
      <w:r>
        <w:rPr>
          <w:b/>
        </w:rPr>
        <w:t>E. 3.1</w:t>
      </w:r>
    </w:p>
    <w:p>
      <w:r>
        <w:t>Das Zeichen "Magenta" wird für Tabakwaren und damit im Zusammenhang stehende Produkte beansprucht. Solcherlei Produkte richten sich an über 16 jährige Konsumenten und Konsumentinnen (Urteil des Bundesverwaltungsgerichts B-6831/2011 vom 16. November 2012 E. 3.2 "Wilson") sowie an Fachhändler (Urteil des Bundesverwaltungsgerichts B-5168/2011 vom 13. März 2013 E. 3.1 "Black Label").</w:t>
      </w:r>
    </w:p>
    <w:p>
      <w:r>
        <w:rPr>
          <w:b/>
        </w:rPr>
        <w:t>E. 3.2</w:t>
      </w:r>
    </w:p>
    <w:p>
      <w:r>
        <w:t>Bei der Wortmarke "Magenta" handelt es sich um eine Farbangabe. Nach duden.de (abgerufen am 23. August 2017) sowie dem Langenscheidt eWörterbuch Italienisch-Deutsch 4.0 beschreibt es die Farbe Anilinrot, ein helles, bläuliches rot. Das Wort ist sowohl in der deutschen wie auch in der italienischen Sprache gebräuchlich. Es kann daher davon ausgegangen werden, dass Magenta von den relevanten Verkehrskreisen auch als Farbbezeichnung wahrgenommen wird. Soweit dies nicht der Fall ist, wird Magenta als Fantasiewort ohne weitere Bedeutung aufgefasst.</w:t>
      </w:r>
    </w:p>
    <w:p>
      <w:r>
        <w:rPr>
          <w:b/>
        </w:rPr>
        <w:t>E. 4.1</w:t>
      </w:r>
    </w:p>
    <w:p>
      <w:r>
        <w:t>Die Vorinstanz vertritt die Meinung, dass das Zeichen "Magenta" für die strittigen Waren als Gemeingut betrachtet werden muss. Dies mit der Begründung, dass die relevanten Waren in dieser Farbe verkauft werden könnten und die relevanten Verkehrskreise durch die Bezeichnung Magenta auf diese Eigenschaft hingewiesen würde, was ihren Kaufentscheid mitbeeinflusse. Eine Bezeichnung eines solchen Kaufkriteriums könne nicht als Marke dienen sondern stehe als beschreibende Angabe im Gemeingut.</w:t>
      </w:r>
    </w:p>
    <w:p>
      <w:r>
        <w:rPr>
          <w:b/>
        </w:rPr>
        <w:t>E. 4.2</w:t>
      </w:r>
    </w:p>
    <w:p>
      <w:r>
        <w:t>Das Bundesgericht hat sich im Entscheid BGE 103b 268 "Red &amp; White" ausgiebig dazu geäussert, unter welchen Umständen ein Zeichen als beschreibend für die Waren selbst oder für deren äussere Aufmachung bzw. Verpackung zu gelten hat. Dies sei der Fall, wenn das strittige Zeichen ein für die gegebene Warenart charakteristisches gemeinfreies Ausstattungsmerkmal darstelle (BGE 103 Ib 268 E. 3a "Red &amp; White"). Als Beispiele führt das Bundesgericht das Zeichen "3 x 3 pocket" für Schokolade an, da Schokolade oft in dieser Anordnung angeboten würde oder das Zeichen "Goldband" für Tabakwaren, da diese häufig eine goldene Banderole aufwiesen (Urteil des Bundesgerichts vom 16. Mai 1967 zitiert in BGE 103 Ib 268 E. 3a "Red &amp; White"). Bezüglich der möglichen äusseren Gestaltung hielt das Bundesgericht im selben Entscheid fest, dass ein Zeichen in der Regel dem Gemeingut zugeordnet wird, wenn das Zeichen auf die Art oder Form der Verpackung selber Bezug nähme, nicht jedoch, wenn es um graphische oder farbliche Gestaltungen gehe, da es dafür unzählige Möglichkeiten gäbe (BGE 103 Ib 268 E. 3a "Red &amp; White"). Diese Ansicht bestätigte das Bundesgericht im Entscheid BGE 106 II 245 E. 2d "Rotring", in welchem das Zeichen "Rotring" Schutz erhielt, obschon an Werkzeugen ein roter Ring angebracht werden könnte; sowie im Entscheid BGE 116 II 609 E. 2 "Fioretto", in welchem die Bezeichnung Fioretto für u.a. Confiseriewaren, Schokolade und Pralinen als nicht dem Gemeingut zugehörend beurteilt wurde, da Blumenformen nicht charakteristisch für diese Warenart seien sondern für eine Vielzahl von Waren verwendet würden.</w:t>
      </w:r>
    </w:p>
    <w:p>
      <w:r>
        <w:rPr>
          <w:b/>
        </w:rPr>
        <w:t>E. 4.3</w:t>
      </w:r>
    </w:p>
    <w:p>
      <w:r>
        <w:t>Das Bundesverwaltungsgericht folgt dieser Rechtsprechung (vgl. etwa Urteile des Bundesverwaltungsgerichts B-2514/2008 vom 25. Mai 2009 E. 4.5 und E. 4.6 "MAGNUM [fig.]", B-5168/2011 E. 3.4.3 "Black Label" sowie B-2642/2012 vom 7. Mai 2013 E. 6.1 "Lotus [fig.]/Lotusman [fig.]"). Die von der Vorinstanz geltend gemachte "Beeinflussung des Kaufentscheids" als Kriterium zur Unterscheidung, ob ein Zeichen dem Gemeingut angehört oder nicht, kann somit nicht von Relevanz sein. Insofern die Vorinstanz den Ausdruck der "Beeinflussung des Kaufentscheids" i.S. des Kriteriums des anpreisenden Charakters eines Zeichens versteht (vgl. etwa Urteil des Bundesgerichts 4A_161/2007 vom 18. Juli 2007 E. 6.2 "we make ideas work"), kann festgehalten werden, dass im vorliegenden Zeichen "Magenta" keine solche anpreisende Eigenschaft ersichtlich ist. Vielmehr ist vorliegend zu prüfen, ob das Zeichen "Magenta" die Art oder Form der Verpackung von produits de tabac; cigarettes; cigarettes électroniques; articles pour fumeurs, briquets pour cigarettes; cendriers, liquide pour cigarettes électroniques; allumettes oder charakteristische Merkmale ebendieser Ware selber bezeichnet.</w:t>
      </w:r>
    </w:p>
    <w:p>
      <w:r>
        <w:rPr>
          <w:b/>
        </w:rPr>
        <w:t>E. 4.4</w:t>
      </w:r>
    </w:p>
    <w:p>
      <w:r>
        <w:t>Bezüglich eines möglichen beschreibenden Charakters der Verpackung von Waren hat das Bundesgericht die Marke "Red &amp; White" für Zigaretten nicht beanstandet, selbst wenn die Verpackung in rot und weiss gehalten wäre (BGE 103 Ib 268 E. 3b "Red &amp; White"). Nichts anderes kann vorliegend der Fall sein. Selbst wenn die Verpackungen der beanspruchten Waren magentafarben wären, könnte dies markenrechtlich nicht beanstandet werden. Die von der Vorinstanz festgestellte Farbenvielfalt der strittigen Produkte deutet denn auch auf die vielfältigen Möglichkeiten hin, eine Verpackung zu gestalten. Dies spricht, entgegen der Auffassung der Vorinstanz und in Einklang mit der bundesgerichtlichen Rechtsprechung, gerade gegen die Auffassung, "Magenta" sei eine Wortmarke, die auf ein Gestaltungsmerkmal hinweist und daher Gemeingutcharakter habe.</w:t>
      </w:r>
    </w:p>
    <w:p>
      <w:r>
        <w:rPr>
          <w:b/>
        </w:rPr>
        <w:t>E. 4.5</w:t>
      </w:r>
    </w:p>
    <w:p>
      <w:r>
        <w:t>Betreffend die Ausstattungsmerkmale der beanspruchten Waren selbst ist festzuhalten, dass diese dann i.d.R. als Gemeingut gelten, wenn sie für die entsprechende Warenkategorie charakteristisch sind (BGE 116 II 609 E. 2c "Fioretto" mit Hinweis auf das Urteil des Bundesgerichts vom 16. Mai 1967 "Goldband" in PMMBl 1967 I 37). Dass die Gestaltung von Waren in einer bestimmten Farbe möglich wäre, ist für sich alleine noch keine Beschaffenheitsangabe, welche ebendiese zum Gemeingut machte (BGE 103 Ib 268 E. 2a "Red &amp; White"). Wie die Vorinstanz überzeugend darlegte, existiert unter den beanspruchten Waren eine beträchtliche Vielfalt an Farbgebung, wobei allerdings für Zigaretten die Farbgebung weisses Papier und beiger Filter sowie für Zündhölzer roter Kopf und holzfarbener Stil als charakteristisch angesehen werden können. Die Farbe Magenta ist indes nicht mehr als andere Farben vertreten und kann daher nicht als charakteristisch oder anderswie von besonderer Bedeutung angesehen werden (ebensowenig wie etwa die Farbe schwarz für die gleichen Waren, Urteil des Bundesverwaltungsgerichts B-5168/2011 vom 13. März 2013 E. 3.4 "Black Label"). Diesbezüglich ist, einhergehend mit der Argumentation der Beschwerdeführerin, herauszustreichen, dass vorliegend die Beurteilung einer Wortmarke mit Farbbezeichnung vorgenommen wird. Eine eigentliche Farbmarke unterläge hingegen einer Beurteilung nach anderen, unter Umständen auch strengeren, Kriterien (vgl. etwa Urteil des Bundesverwaltungsgerichts B-5183/2015 vom 6. Juni 2017 E. 3.2. "Pantone 677 édition 2010"). Die Farbbezeichnung Magenta ist nach dem Gesagten für die beanspruchten Waren nicht beschreibend und somit nicht dem Gemeingut zugehörig.</w:t>
      </w:r>
    </w:p>
    <w:p>
      <w:r>
        <w:rPr>
          <w:b/>
        </w:rPr>
        <w:t>E. 4.6</w:t>
      </w:r>
    </w:p>
    <w:p>
      <w:r>
        <w:t>Es ist weiter nicht ersichtlich, dass die Farbbezeichnung Magenta eine bestimmte Bedeutung besässe, welche es den Konkurrenten der Beschwerdeführerin erlauben müsste, auf die Farbbezeichnung zurückgreifen zu können (vgl. BVGE 2007/22 vom 21. Februar 2007 E. 7.3 "Blau/Silber [Farbmarke]"). Ein solches Freihaltebedürfnis kann daher ebenfalls nicht festgestellt werden.</w:t>
      </w:r>
    </w:p>
    <w:p>
      <w:r>
        <w:rPr>
          <w:b/>
        </w:rPr>
        <w:t>E. 5</w:t>
      </w:r>
    </w:p>
    <w:p>
      <w:r>
        <w:t>Nach dem Gesagten ist die Beschwerde gutzuheissen, die vorinstanzliche Verfügung vom 7. Oktober 2015 ist aufzuheben soweit sie die Markeneintragung ablehnt und die Vorinstanz ist anzuweisen, der Marke "Magenta" aus dem Markengesuch Nr. 64856/2014 auch für die Waren produits de tabac; cigarettes; cigarettes électroniques; articles pour fumeurs, briquets pour cigarettes; cendriers, liquide pour cigarettes électroniques; allumettes der Klasse 34 Schutz zu gewähren.</w:t>
      </w:r>
    </w:p>
    <w:p>
      <w:r>
        <w:rPr>
          <w:b/>
        </w:rPr>
        <w:t>E. 6.1</w:t>
      </w:r>
    </w:p>
    <w:p>
      <w:r>
        <w:t>Bei diesem Ausgang des Verfahrens sind keine Kosten zu erheben (Art. 63 Abs. 2 VwVG). Der Beschwerdeführerin ist der geleistete Kostenvorschuss zurückzuerstatten.</w:t>
      </w:r>
    </w:p>
    <w:p>
      <w:r>
        <w:rPr>
          <w:b/>
        </w:rPr>
        <w:t>E. 6.2</w:t>
      </w:r>
    </w:p>
    <w:p>
      <w:r>
        <w:t>Der Beschwerdeführerin ist eine angemessene Parteientschädigung zuzusprechen (Art. 7 ff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Die Vorinsanz handelt als autonome Anstalt mit eigener Rechtspersönlichkeit (Art. 1 des Bundesgesetzes vom 24. März 1995 über Statut und Aufgaben des Eidgenössischen Instituts für Geistiges Eigentum (IGEG, SR 172.010.31).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Gebühren erlassen. Ihr sind demnach die Parteikosten der Beschwerdeführerin aufzuerlegen. Wurde, wie im vorliegenden Fall, keine Kostennote eingereicht, setzt das Gericht die Entschädigung auf Grund der Akten fest (Art. 14 Abs. 2 VGKE). Dabei erscheint eine Parteientschädigung von Fr. 3'000.-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