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B-7171/2023 vom 12. Juni 2024</w:t>
      </w:r>
    </w:p>
    <w:p>
      <w:r>
        <w:t>Bundesverwaltungsgericht, 2024-06-12, IT</w:t>
      </w:r>
    </w:p>
    <w:p>
      <w:r>
        <w:rPr>
          <w:b/>
        </w:rPr>
        <w:t xml:space="preserve">Quelle: </w:t>
      </w:r>
      <w:r>
        <w:t>https://mcp.opencaselaw.ch/entscheid/bvger_B-7171_2023</w:t>
      </w:r>
    </w:p>
    <w:p>
      <w:r>
        <w:t>FR: TAF B-7171/2023 du 12 juin 2024</w:t>
      </w:r>
    </w:p>
    <w:p>
      <w:r>
        <w:t>IT: TAF B-7171/2023 del 12 giugno 2024</w:t>
      </w:r>
    </w:p>
    <w:p>
      <w:pPr>
        <w:pStyle w:val="Heading2"/>
      </w:pPr>
      <w:r>
        <w:t>Regeste</w:t>
      </w:r>
    </w:p>
    <w:p>
      <w:r>
        <w:t>Acquisti pubblici</w:t>
      </w:r>
    </w:p>
    <w:p>
      <w:pPr>
        <w:pStyle w:val="Heading2"/>
      </w:pPr>
      <w:r>
        <w:t>Erwägungen</w:t>
      </w:r>
    </w:p>
    <w:p>
      <w:r>
        <w:rPr>
          <w:b/>
        </w:rPr>
        <w:t>E. 8</w:t>
      </w:r>
    </w:p>
    <w:p>
      <w:r>
        <w:t>Riassumendo, le contestazioni sollevate dalle ricorrenti riguardo alla domanda di escludere le controparti dalla gara (cfr. supra consid. 2 segg.), ad un'eventuale ricusazione del consulente esterno della committente (cfr. supra consid. 3 segg.) e alla valutazione operata in alcuni criteri di aggiudicazione (cfr. supra consid. 5 fino a 7) si rivelano infondate e il ricorso va pertanto respinto.</w:t>
      </w:r>
    </w:p>
    <w:p>
      <w:r>
        <w:rPr>
          <w:b/>
        </w:rPr>
        <w:t>E. 9</w:t>
      </w:r>
    </w:p>
    <w:p>
      <w:r>
        <w:t>Le ricorrenti hanno potuto visionare una versione degli atti di gara destinata al loro uso, in particolare la proposta di delibera con l'indicazione del gremio decisionale, la valutazione della loro offerta e quella delle aggiudicatarie, nonché le domande e risposte nell'ambito dei chiarimenti tecnici tra la committente e le controparti. Visto l'esito del procedimento e considerato che per prassi costante non sussiste di principio un diritto alla libera consultazione delle offerte dei concorrenti e che inoltre vige l'obbligo del trattamento confidenziale delle informazioni riguardanti i rimanenti offerenti (cfr. sentenza del TAF B-2862/2023 del 22 novembre 2023 consid. 6.1 con ulteriori riferimenti), non è più necessario concedere un ulteriore accesso agli atti rispetto a quello già ordinato nella fase dello scambio di scritti. Nella misura in cui l'accesso agli atti è stato concesso limitatamente o negato del tutto, il Tribunale ha potuto accertare che nei documenti in parte occultati o non messi a disposizione non si celano indizi suscettibili di concludere ad una valutazione avversa alla parità di trattamento o altrimenti erronea dal punto di vista giuridico (sentenze del TAF B-3204/2020 del 23 dicembre 2020 consid. 5.1 e B-1662/2020 dell'8 giugno 2020 consid. 3.4).</w:t>
      </w:r>
    </w:p>
    <w:p>
      <w:r>
        <w:rPr>
          <w:b/>
        </w:rPr>
        <w:t>E. 10</w:t>
      </w:r>
    </w:p>
    <w:p>
      <w:r>
        <w:t>L'emanazione della presente sentenza rende superflua l'evasione della domanda volta a concedere l'effetto sospensivo al gravame.</w:t>
      </w:r>
    </w:p>
    <w:p>
      <w:r>
        <w:rPr>
          <w:b/>
        </w:rPr>
        <w:t>E. 11</w:t>
      </w:r>
    </w:p>
    <w:p>
      <w:r>
        <w:t>Le ricorrenti, soccombenti, devono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le ricorrenti sono da considerare quale parte soccombente, si giustifica di fissare la tassa di giustizia ad un importo complessivo di fr. 23'000.-. Le spese processuali sono computate con l'anticipo di pari importo già versato in data 12 gennaio 2024, dopo la crescita in giudicato della presente sentenza.</w:t>
      </w:r>
    </w:p>
    <w:p>
      <w:r>
        <w:rPr>
          <w:b/>
        </w:rPr>
        <w:t>E. 12</w:t>
      </w:r>
    </w:p>
    <w:p>
      <w:r>
        <w:t>Quanto alle spese ripetibili, alle ricorrenti non si assegnano indennità in conformità al principio della soccombenza (art. 64 cpv. 1 PA a contrario). L'autorità aggiudicatrice, non ha diritto a un'indennità a titolo di ripetibili (art. 7 cpv. 3 TS-TAF; Elisabeth Lang, in Handkommentar Trüeb, op. cit., n. a margine 32 ad art. 55 LAPub). Le controparti si rivelano parte vincente. Patrocinate da un avvocato, esse hanno diritto alla rifusione di un'indennità per spese ripetibili. Nella misura in cui al Tribunale non è pervenuta alcuna nota d'onorario e posto che l'intervento del patrocinatore è costituito da una risposta e da una duplica incentrate prevalentemente sulla tematica del conflitto di interesse e di un'eventuale esclusione delle controparti, appare adeguato fissare l'indennità, in funzione delle particolarità della procedura, a fr. 5'000.- e metterla a carico delle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