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B-7090/2010 vom 3. August 2011</w:t>
      </w:r>
    </w:p>
    <w:p>
      <w:r>
        <w:t>Bundesverwaltungsgericht, 2011-08-03, DE</w:t>
      </w:r>
    </w:p>
    <w:p>
      <w:r>
        <w:rPr>
          <w:b/>
        </w:rPr>
        <w:t xml:space="preserve">Quelle: </w:t>
      </w:r>
      <w:r>
        <w:t>https://mcp.opencaselaw.ch/entscheid/bvger_B-7090_2010</w:t>
      </w:r>
    </w:p>
    <w:p>
      <w:r>
        <w:t>FR: TAF B-7090/2010 du 3 août 2011</w:t>
      </w:r>
    </w:p>
    <w:p>
      <w:r>
        <w:t>IT: TAF B-7090/2010 del 3 agosto 2011</w:t>
      </w:r>
    </w:p>
    <w:p>
      <w:pPr>
        <w:pStyle w:val="Heading2"/>
      </w:pPr>
      <w:r>
        <w:t>Regeste</w:t>
      </w:r>
    </w:p>
    <w:p>
      <w:r>
        <w:t>Glücksspiele und Spielbanken</w:t>
      </w:r>
    </w:p>
    <w:p>
      <w:pPr>
        <w:pStyle w:val="Heading2"/>
      </w:pPr>
      <w:r>
        <w:t>Erwägungen</w:t>
      </w:r>
    </w:p>
    <w:p>
      <w:r>
        <w:rPr>
          <w:b/>
        </w:rPr>
        <w:t>E. 1.1</w:t>
      </w:r>
    </w:p>
    <w:p>
      <w:r>
        <w:t>Gemäss Art. 31 des Bundesgesetzes über das Bundesverwaltungsgericht vom 17. Juni 2005 (Verwaltungsgerichtsgesetz, VGG, SR 173.32) beurteilt das Bundesverwaltungsgericht Beschwerden gegen Verfügungen nach Art. 5 des Bundesgesetzes über das Verwaltungsverfahren vom 20. Dezember 1968 (VwVG, SR 172.021). Dazu gehören auch die Verfügungen der Vorinstanz, welche diese im Rahmen des Vollzugs des Bundesgesetzes über Glücksspiele und Spielbanken vom 18. Dezember 1998 (Spielbankengesetz, SBG, SR 935.52) erlässt. Die Verfügung der Vorinstanz vom 26. August 2010 ist demgemäss eine Verfügung im Sinne von Art. 5 Abs.1 VwVG. Es liegt kein Ausschlussgrund nach Art. 32 VGG vor. Das Bundesverwaltungsgericht ist somit für die Behandlung der vorliegenden Beschwerden im Sinne der Art. 31 und 33 lit. f VGG zuständig.</w:t>
      </w:r>
    </w:p>
    <w:p>
      <w:r>
        <w:rPr>
          <w:b/>
        </w:rPr>
        <w:t>E. 1.2</w:t>
      </w:r>
    </w:p>
    <w:p>
      <w:r>
        <w:t>Als Adressatinnen der Verfügung sind die Beschwerdeführerinnen beschwerdelegitimiert im Sinne von Art. 48 VwVG. Die Eingabefrist sowie die Anforderungen an Form und Inhalt der Beschwerdeschrift wurden beiderseits gewahrt (vgl. Art. 50 sowie 52 Abs. 1 VwVG). Die Vertretungsvollmachten liegen vor, die Kostenvorschüsse wurden geleistet. Da auch die übrigen Sachurteilsvoraussetzungen vorliegen, ist auf die Beschwerden einzutreten.</w:t>
      </w:r>
    </w:p>
    <w:p>
      <w:r>
        <w:rPr>
          <w:b/>
        </w:rPr>
        <w:t>E. 2</w:t>
      </w:r>
    </w:p>
    <w:p>
      <w:r>
        <w:t>Die Beschwerdeführerin 1 beantragt in ihrer Beschwerde vom 28. September 2010 unter anderem die Sistierung des Verfahrens, bis das Bundesgericht das angefochtene Urteil des Bundesverwaltungsgerichts B-1099/2007 vom 18. Januar 2010 in Sachen "Tactilo/Touchlot"-Automat gewürdigt habe. Mit Urteil 2C_186/2010 hat das Bundesgericht am 18. Januar 2011 in Sachen "Tactilo/Touchlot"-Automat entschieden. Auf den Sistierungsantrag der Beschwerdeführerin 1 ist somit nicht mehr einzutreten. 3.Das Glücksspiel um Geld oder andere geldwerte Vorteile wird durch das Spielbankengesetz geregelt (Art. 1 Abs. 1 SBG). Vorbehalten bleiben gemäss Art. 1 Abs. 2 SBG die Vorschriften des Bundesgesetzes betreffend die Lotterien und die gewerbsmässigen Wetten vom 8. Juni 1923 (Lotteriegesetz, LG, SR 935.51). Es stellt sich somit in einem ersten Schritt die Frage, ob der "Super Competition" dem Lotteriegesetz untersteht. 3.1 Als Lotterie gilt gemäss Art. 1 Abs. 2 LG "jede Veranstaltung, bei der gegen Leistung eines Einsatzes oder bei Abschluss eines Rechtsgeschäftes ein vermögensrechtlicher Vorteil als Gewinn in Aussicht gestellt wird, über dessen Erwerbung, Grösse oder Beschaffenheit planmässig durch Ziehung von Losen oder Nummern oder durch ein ähnliches auf Zufall gestelltes Mittel entschieden wird". Den Lotterien gleichgestellt sind unter anderem gemäss Art. 43 Ziff. 3 der Verordnung zum Bundesgesetz betreffend die Lotterien und die gewerbsmässigen Wetten vom 27. Mai 1924 (Lotterieverordnung, LV, SR 935.511) "die Aufstellung und der Betrieb von Verkaufs- sowie von Spielapparaten, die weder Geld noch geldvertretende Gegenstände abgeben, sofern es wesentlich vom Zufall abhängt, ob der gegen Leistung eines Einsatzes oder bei Abschluss eines Rechtsgeschäftes in Aussicht gestellte Gewinn anfällt oder von welcher Art oder von welchem Wert er ist". 3.2 3.2.1 Gemäss bundesgerichtlicher Rechtsprechung, muss das Lotterie-Merkmal der Planmässigkeit sowohl bei der Lotterie als auch bei der lotterieähnlichen Unternehmung (z.B. im Sinne von Art. 43 Ziff. 3 LV) erfüllt sein. Die Planmässigkeit ist dabei das entscheidende Kriterium, um die Lotterien und die lotterieähnlichen Unternehmungen vom Glücksspiel im Sinne des Spielbankengesetzes zu unterscheiden. Eine Veranstaltung, bei welcher über den Gewinn nicht planmässig entschieden wird, ist keine Lotterie beziehungsweise lotterieähnliche Unternehmung, sondern allenfalls ein Glücksspiel im Sinne des Spielbankengesetzes (BGE 132 IV 76 E. 4.2.1). 3.2.2 Planmässigkeit im Sinne des Lotteriegesetzes liegt vor, wenn der Veranstalter sein eigenes Spielrisiko ausschliesst, sich also nicht dem Zufall unterwirft (BGE 132 IV 76 E. 4.2.1). Entgegen der Ansicht der Beschwerdeführerin 1 genügt es nicht, das unternehmerische Risiko einzugrenzen. Dieses muss vielmehr auf einen exakten Betrag bestimmbar sein (BGE 99 IV 25 E. 5a). An dieser Sichtweise hat das Bundesgericht in konstanter Praxis bis heute festgehalten (vgl. zuletzt explizit in BGE 137 II 164 E. 4). Exemplarisch sei an dieser Stelle auf die Swisslos-Lose verwiesen, bei welchen jeweils die Spielreglemente Auszahlungs- und Trefferquote auf zwei Stellen nach dem Komma genau sowie die Plansumme und der Auszahlungsbetrag auf den Franken genau angegeben werden. Entgegen der Ansicht der Beschwerdeführerin 1 erweist sich das Festhalten der Vorinstanz an der langjährigen, konstanten bundesgerichtlichen Praxis weder als unverhältnismässig noch als rechtsmissbräuchlich bzw. willkürlich im Sinne von Art. 9 der Bundesverfassung der Schweizerischen Eidgenossenschaft vom 18. April 1999 (BV, SR 101). 3.2.3 Der "Super Competition" bietet den Spielerinnen und Spielern sechs verschiedene Einsatzmöglichkeiten (Fr. 0.50, Fr. 1.-, Fr. 2.-, Fr. 3.-, Fr. 4.- und Fr. 5.-). Der Automat verfügt über eine Haupttabelle, dessen Positionen die Gewinne und Verluste für 10'000 Spiele abspeichert. Pro Einsatzmöglichkeit generiert der Automat zwei Gewinntabellen, welche die gleichen Gewinne, aber auf unterschiedlichen Positionen enthalten. Somit existieren pro Einsatzmöglichkeit jeweils zwei Tabellen mit je 10'000 Positionen. Nach jedem Spiel erfolgt eine zufällige Umschaltung zwischen diesen beiden Tabellen. Das Risikospiel verfügt über 1'382 Einsatzmöglichkeiten. Für jede dieser Einsatzmöglichkeiten bestimmt eine separate Tabelle mit je 1'000 Positionen, ob ein Gewinn oder Verlust resultiert. 3.2.4 Der Beschwerdeführerin 1 ist insoweit zuzustimmen, als dass es prinzipiell irrelevant ist, ob es pro Einsatzmöglichkeit eine oder zwei Tabellen gibt. Aus der Haupttabelle lässt sich das unternehmerische Risiko für 10'000 Spiele exakt berechnen ("Grundrisiko"). Da die beiden Gewinntabellen pro Einsatzmöglichkeit jeweils auf der Haupttabelle beruhen und lediglich die Positionen verändert werden, ergibt sich pro Einsatzmöglichkeit ein unternehmerisches Risiko von "Grundrisiko" x 2. Davon ausgehend liesse sich nun ein Gesamtrisiko pro Einsatzmöglichkeit in Franken berechnen, welches bei jeder Einsatzmöglichkeit jeweils nach 20'000 Spielen ("Spieldurchgang") immer dasselbe sein müsste. Im Gegensatz zu einer "ordentlichen" Lotterie ist es nun aber so, dass beim "Super Competition" die Gewinntabellen nie zum selben Zeitpunkt abgearbeitet sind und somit kein eigentliches Ende eines Spieldurchgangs stattfindet. Dies ganz im Gegensatz zum bereits erwähnten Beispiel der Swisslos-Lose, wo ein Spieldurchgang jeweils endet mit dem Verkauf des letzten verfügbaren Loses bzw. dem letzten Verkaufstermin einer Losserie. Beim "Super Competition" wird jeweils nach dem Abarbeiten einer Gewinntabelle sowohl im Basis- als auch im Risikospiel umgehend eine neue erstellt. Dies hat beim Basisspiel neben dem Fehlen eines eigentlichen Spieldurchgangendes insbesondere auch zur Folge, dass das Gesamtrisiko pro Einsatzmöglichkeit in Franken nach 20'000 Spielen immer variiert. Hinzu kommt, dass die Gewinne des Spielers massgeblich von seinem Erfolg im Risikospiel abhängen. Auch wenn das unternehmerische Risiko beim "Super Competition" ungefähr bestimmbar bleibt, so genügt dies dennoch nicht, um von einer "Planmässigkeit" im Sinne des Gesetzes (vgl. E. 3.2.2) sprechen zu können. Genau darin liegt auch der Unterschied zum "Tactilo"-Entscheid des Bundesgerichts (Urteil des Bundesgerichts 2C_186/2010 vom 18. Januar 2011). Der "Tactilo" ist im Grundsatz nichts mehr als ein mobiles Transportmittel für Lose, welche die "Société de la Loterie de la Suisse Romande" anbietet. Diese sind bei den Verkaufsstellen auch in der konventionellen Printvariante erhältlich, können aber über den "Tactilo" nun auch virtuell gespielt werden, was allerdings nichts an der grundsätzlichen Art des Spiels ändert (vgl. diesbzgl. zusammenfassend das "Tactilo"-Urteil des Bundesverwaltungsgerichts B-1099/2007 vom 18. Januar 2010 E. 7.2 sowie die Spielreglemente des "Tactilo" unter www.loro.ch &gt; Points de vente &gt; Règlements &gt; Règlements des jeux disponibles uniquement dans les points de vente &gt; Jeux de grattage: Billets à gratter sous forme éléctronique &gt; Règlement des jeux du Tactilo). Die unter E. 3.2.2 gemachten Ausführungen und damit auch die Planmässigkeit sind daher auch bei den über den "Tactilo" spielbaren Losen gegeben (vgl. Urteil des Bundesgerichts 2C_186/2010 vom 18. Januar 2011 E. 7.3), und der "Tactilo"-Entscheid somit entgegen der Ansicht der Beschwerdeführerin 1 gerade kein Präjudiz für den "Super Competition". 3.3 Wie zuvor aufgezeigt, mangelt es beim "Super Competition" bereits an der Voraussetzung der Planmässigkeit. Somit kann die Frage der rechtlichen Folgen einer Gratisteilnahmemöglichkeit im vorliegenden Fall offen gelassen werden. 3.4Die Beschwerdeführerinnen rügen im Zusammenhang mit der Frage, ob der "Super Competition" dem Lotteriegesetz untersteht, auch, dass es die Vorinstanz nicht für nötig erachtet habe, sich mit den von den Beschwerdeführerinnen zur Verfügung gestellten Berichten zu befassen und auseinanderzusetzen. So habe die Vorinstanz insbesondere zu Unrecht den Prüfbericht der C._______ SA (nachfolgend: C._______) vom 4. Dezember 2008 nicht berücksichtigt, welcher zum Schluss gekommen sei, dass es sich beim "Super Competition" um eine elektronische Lotterie handle. Letzteres werde auch von der D._______ SL mit Begleitschreiben zum C._______-Prüfbericht vom 5. Dezember 2008 sowie von der E._______ AG mit Stellungnahme vom 23. September 2010 bestätigt, welche von den Beschwerdeführerinnen zu den Akten gelegt wurden. Die Beschwerdeführerinnen rügen somit eine fehlerhafte Beweiswürdigung der Vorinstanz. 3.4.1 Art. 6 Abs. 1 SBG i.V.m. Art. 61 Abs. 4 der Verordnung über Glücksspiele und Spielbanken vom 24. September 2004 (Spielbankenverordnung, VSBG, SR 935.521) i.V.m. Art. 58 Abs. 2 der Verordnung des EJPD über Überwachungssysteme und Glücksspiele vom 24. September 2004 (Glücksspielverordnung, GSV, SR 935.521.21) sieht unter anderem ein Zertifizierungsverfahren für Glücksspielautomaten vor. Letztere sind Geräte, die ein Glücksspiel anbieten, das im Wesentlichen automatisch abläuft (Art. 3 Abs. 2 SBG) und nur in konzessionierten Spielbanken betrieben werden dürfen (vgl. Art. 4 Abs. 1 SBG). Die Zertifizierung ist dabei unter anderem eine Bedingung dafür, dass der betreffende Glücksspielautomat überhaupt in einer Spielbank aufgestellt werden darf (Art. 35 Abs. 3 GSV). Das Zertifizierungsverfahren bewirkt zudem, dass, falls ein für den Betrieb in Spielbanken vorgesehener Geldspielautomat von einer anerkannten Prüfstelle entsprechend zertifiziert wurde, er in der Folge nicht mehr der Vorinstanz vorgeführt werden muss (Art. 62 lit. a VSBG). Die Beschwerdeführerinnen sehen den "Super Competition" gemäss eigenen Aussagen explizit nicht für den Betrieb in Spielbanken vor. Zertifizierungsverfahren für andere Automaten als Glücksspielautomaten sind vom Gesetzgeber jedoch keine vorgesehen worden, so insbesondere auch nicht im Bereich der Lotteriegesetzgebung oder der Glücksspielverordnung. Auch wenn man sich der Meinung der Beschwerdeführerin 1 anschliessen würde, dass es aus heutiger Sicht und insbesondere auch vor dem Hintergrund der heutigen technologischen Möglichkeiten und dem verstärkten Aufkommen von elektronischen Lotterien unbefriedigend sei, dass es für elektronische Lotteriegeräte kein solches Zertifizierungsverfahren gibt, so bleibt dennoch festzuhalten, dass es dem Gesetzgeber obliegt, diese Lücke zu schliessen, wenn er dies denn für sinnvoll erachten sollte. Für eine allfällige richterliche Lückenfüllung bleibt in dieser Frage kein Raum. 3.4.2 Bei der Würdigung der Beweise ist die Behörde keinen Regeln unterworfen, es gilt der Grundsatz der freien Beweiswürdigung (Art. 40 des Bundesgesetzes über den Bundeszivilprozess vom 4. Dezember 1947 [BZP, SR 273] i.V.m. Art. 19 VwVG). Demnach hat die Behörde alle erhobenen Beweismittel über erhebliche Tatsachen ohne Bindung an förmliche Beweisregeln umfassend und pflichtgemäss zu würdigen (Bernhard Waldmann/Philippe Weissenberger, Kommentar zu Art. 19 VwVG, in: Bernhard Waldmann/Philippe Weissenberger (Hrsg.), VwVG, Zürich/Basel/Genf 2009, S. 403, Rz. 14 f.). Ebenfalls in die Beweiswürdigung mit einzubeziehen sind Parteigutachten, sofern sie als schlüssig erscheinen, nachvollziehbar begründet sowie in sich widerspruchsfrei sind und keine Indizien gegen ihre Zuverlässigkeit bestehen (Waldmann/Weissenberger, a.a.O., S. 403, Rz. 16). Mangels Vorliegen eines Zertifizierungsverfahrens kommt den von den Beschwerdeführerinnen eingereichten Prüfberichten im vorliegenden Fall kein erhöhter Beweiswert zu. Sie waren jedoch von der Vorinstanz als Parteigutachten in der Beweiswürdigung zu berücksichtigen. Art. 12 VwVG hält fest, dass die Behörde den Sachverhalt von Amtes wegen festzustellen hat (Untersuchungsgrundsatz). Die Behörde hat dabei im Rahmen des Zumutbaren den entscheiderheblich erscheinenden Umständen nachzugehen. Entscheid- bzw. rechtserheblich sind alle Tatsachen, welche die tatbeständlichen Voraussetzungen der anwendbaren Rechtsnorm erfüllen (vgl. Patrick L. Krauskopf/Katrin Emmenegger, Kommentar zu Art. 12 VwVG, in: Waldmann/Weissenberger, a.a.O., S. 258 f., Rz. 27 f.). Es steht ihr denn auch frei, interne Gutachten zur Einordnung der Spielautomaten einzuholen und diese ebenfalls in der Beweiswürdigung zu berücksichtigen. Da es sich dabei jedoch um ein internes Gutachten handelt, hat auch dieses im Gegensatz zu eigentlichen Sachverständigengutachten keinen erhöhten Beweiswert (Christoph Auer, Kommentar zu Art. 12 VwVG, in: Christoph Auer/Markus Müller/Benjamin Schindler (Hrsg.), Kommentar zum Bundesgesetz über das Verwaltungsverfahren (VwVG), Zürich/St. Gallen 2008, S. 216, Rz. 55). 3.4.3 Im vorliegenden Fall sind keine Anzeichen ersichtlich, dass die Vorinstanz eine fehlerhafte Beweiswürdigung vorgenommen oder den Sachverhalt nicht genügend abgeklärt hat. Wie die technische Geräteanalyse vom 14. Dezember 2009 aufzeigt und die Beschwerdeführerin 1 in ihrer Beschwerde vom 28. September 2010 selber bestätigt, wurde der C._______-Prüfbericht selbst von den internen Gutachtern berücksichtigt (Ziff. 3.4 der technischen Geräteanalyse). Aus den dem Gericht vorliegenden Akten sind zudem keine Hinweise erkennbar, dass die Vorinstanz die ihr vorliegenden Berichte nicht in ihre Überlegungen miteinbezogen hat, anerkannte sie doch den Beweiswert der Berichte als Parteigutachten ausdrücklich in ihrer Vernehmlassung vom 10. Dezember 2010. Dass dies jedoch nicht bedeutet, dass die Vorinstanz den in den Berichten gemachten Ausführungen zwangsläufig zu folgen hätte, ergibt sich bereits aus deren Status eines Parteigutachtens. Zudem ist anzumerken, dass auch wenn der C._______-Prüfbericht das auf dem "Super Competition" laufende Spiel "Tutti Frutti" pauschal als "electronic lottery (...) with the appearance of a video slot machine" einordnet, er sich dennoch in keinster Art und Weise materiell zu sachverhaltsrelevanten Fragen hinsichtlich der rechtlichen Einordnung des "Super Competition" im Rahmen des anwendbaren Schweizer Spielbanken- und Lotterierechts äussert. Gleiches gilt für das Begleitschreiben der D._______ SL zum C._______-Prüfbericht vom 5. Dezember 2008, welches lediglich ihre Interpretation des Prüfberichts darstellt. Aus der von der Vorinstanz eingereichten Kostenaufstellung ist ersichtlich, dass die Ingenieure den "Super Competition" im Oktober und November 2009 einer eingehenden Prüfung unterzogen haben. Die in der technischen Geräteanalyse von Fachspezialisten gemachten Ausführungen geben genügend Aufschluss über die im vorliegenden Fall relevanten Sachverhaltsfragen, so dass die Vorinstanz nicht gehalten war, ein zusätzliches Gutachten eines externen Sachverständigen in Auftrag zu geben. Konkrete Anzeichen hinsichtlich einer von der Beschwerdeführerin 1 in den Raum gestellten möglichen Befangenheit der Verfasser der Geräteanalyse oder anderer Anzeichen, welche eine Berücksichtigung dieses internen Gutachtens als unzulässig erscheinen lassen, sind keine ersichtlich. Auch muss angemerkt werden, dass der C._______-Prüfbericht die bisherigen Erkenntnisse dahingehend bestätigt, dass das Erfordernis der Planmässigkeit im Sinne des Lotteriegesetzes (vgl. E. 3.2.2) beim "Super Competition" nicht erfüllt wird. Gleiches gilt auch für die von den Beschwerdeführerinnen zu den Akten gelegte Stellungnahme der E._______ AG. Zudem bestätigt der - wie die Beschwerdeführerin 1 in ihrer Beschwerde vom 28. September 2010 selber anerkennt von der Vorinstanz in ihre Prüfungen miteinbezogene - Bericht des Programmierers ausdrücklich, dass es nicht möglich sei, die Auszahlungsquote genau zu berechnen (S. 3). Aufgrund der vorhergehenden Ausführungen sowie der dem Gericht vorliegenden Unterlagen kann im Sinne einer antizipierten Beweiswürdigung auf die von der Beschwerdeführerin 1 beantragte Einholung eines zusätzlichen Sachverständigengutachtens verzichtet werden. Somit ist als Zwischenergebnis festzuhalten, dass es sich beim "Super Competition" und faktisch gleichen Geräten weder um eine Lotterie noch um eine lotterieähnliche Unternehmung im Sinne des Lotteriegesetzes bzw. der Lotterieverordnung handelt. Letztere Bestimmungen sind somit auf den "Super Competition" und faktisch gleiche Geräte nicht anwendbar. 4.In einem nächsten Schritt ist zu prüfen, ob es sich beim "Super Competition" um ein Glücksspiel im Sinne des Spielbankengesetzes handelt. 4.1 4.1.1 Wer einen Geldspielautomaten in Verkehr setzen will, muss ihn vor der Inbetriebnahme der Vorinstanz vorführen (Art. 61 Abs. 1 VSBG). Die Vorinstanz entscheidet in der Folge darüber, ob es sich um einen "Glücksspielautomaten" handelt, der nur in konzessionierten Spielbanken betrieben werden darf (vgl. Art. 4 Abs. 1 SBG), oder um einen "Geschicklichkeitsspielautomaten", für dessen Zulassung die Kantone zuständig sind (Art. 106 Abs. 4 BV). Ausnahmen von der Vorführpflicht sind in Art. 62 VSBG geregelt. Die im vorliegenden Fall relevante und bereits unter E. 3.4.1 erwähnte Ausnahme von Art. 62 lit. a VSBG liegt beim "Super Competition" nicht vor, da die Beschwerdeführerinnen den Automaten gemäss eigenen Aussagen explizit nicht für den Betrieb in Spielbanken vorsehen. 4.1.2 Gemäss der Botschaft zum Bundesgesetz über das Glücksspiel und über die Spielbanken (Spielbankengesetz, SBG) vom 26. Februar 1997 umfasst der Begriff "Geldspielautomat" ausnahmslos alle Spielgeräte, "an denen der Spieler nach Leistung eines Einsatzes einen in den wesentlichen Teilen automatischen Spielablauf auslösen kann, der im Gewinnfall mit Auszahlung oder Gutschrift eines Geldgewinns oder eines anderen vermögenswerten Vorteils endet" (BBl 1997 III 169; vgl. Art. 3 Abs. 1 SBG). Wie das Bundesverwaltungsgericht in seinem von den Beschwerdeführerinnen nicht angefochtenen und damit rechtskräftig gewordenen Urteil B-8248/2008 vom 4. Juni 2009 ausführte (E. 3.2.2), handelt es sich beim "Super Competition" um einen Geldspielautomaten im Sinne des Spielbankengesetzes, da der Automat jederzeit und unabhängig von allfälligen Gratisteilnahmen mittels Geldeinwurf bespielt werden kann (vgl. dazu auch Urteil des Bundesgerichts 2C_312/2007 vom 13. November 2007 E. 5.2) und es auch im vorliegenden Verfahren unbestritten ist, dass in der Folge ein automatischer Spielablauf ausgelöst wird, welcher im Gewinnfall einen vermögenswerten Vorteil (vor Ort einlösbarer Konsumgutschein) erwarten lässt. Es stellt sich somit lediglich noch die Frage, ob es sich beim "Super Competition" um einen "Glücksspielautomaten" oder einen "Geschicklichkeitsspielautomaten" handelt. 4.2 4.2.1 "Glücksspielautomaten" sind Geräte, die ein Glücksspiel anbieten, das im Wesentlichen automatisch abläuft (Art. 3 Abs. 2 SBG). Demgegenüber sind "Geschicklichkeitsspielautomaten" Geräte, die ein Geschicklichkeitsspiel anbieten, das im Wesentlichen automatisch abläuft und dessen Gewinn von der Geschicklichkeit des Spielers abhängt (Art. 3 Abs. 3 SBG). 4.2.2 Hinsichtlich der Abgrenzung zwischen Glücksspiel- und Geschicklichkeitsautomaten hat das Eidgenössische Justiz- und Polizeidepartement (EJPD) gestützt auf Art. 63 VSBG in der Glücksspielverordnung Kriterien festgelegt. So liegt gemäss Art. 1 GSV ein Geschicklichkeitsautomat namentlich vor, wenn: a. der Gewinn sich proportional zur Geschicklichkeit einer Spielerin oder eines Spielers während der gesamten Spieldauer erhöht; b. kein Gewinn erlangt werden kann, falls die Spielerin oder der Spieler keinen Einfluss auf den Spielverlauf nimmt; c. beim Blindspiel die Möglichkeit, einen Gewinn zu erzielen, geringfügig ist; d. der Spielautomat nicht über eine vorgegebene Auszahlungsquote verfügt; e. die Spieldurchführung transparent ist; f. dem Spiel ein von der Gewinnmöglichkeit unabhängiger Unterhaltungswert zukommt. 4.2.3 Gemessen an den oben aufgeführten Kriterien kann beim "Super Competition" nicht von einem Geschicklichkeitsautomaten im Sinne des Spielbankengesetzes i.V.m. der Glücksspielverordnung gesprochen werden. Auch wenn der "Super Competition" vereinzelte Interaktionselemente aufweist, so beschränkt sich sein Unterhaltungswert doch im Wesentlichen auf die Gewinnerwartungshaltung. Nicht zuletzt auch unter Berücksichtigung der heutigen technischen Möglichkeiten in Bezug auf Spielautomaten sowie der äusserst kurzen Spieldauer, genügt dies nicht, um einen von der Gewinnmöglichkeit unabhängigen Unterhaltungswert im Sinne von Art. 1 lit. f GSV zu bejahen. Auch hat der Spieler kaum Möglichkeiten, durch seine eigene Geschicklichkeit den Spielablauf positiv zu seinen Gunsten zu beeinflussen. Das Basisspiel läuft nach dem Startvorgang automatisch ab und das Risikospiel hat weniger mit der Geschicklichkeit des Spielers als vielmehr mit seiner Risikofreude zu tun, wodurch auch das Kriterium von Art. 1 lit. a GSV nicht erfüllt wird. Denn für die Bejahung des letztgenannten Kriteriums ist notwendig, dass der Gewinn "in unverkennbarer Weise" von der Geschicklichkeit des Spielers abhängt (Urteil des Bundesgerichts 2A.494/2001 vom 27. Februar 2002 E. 6.3), was beim "Super Competition" nicht der Fall ist. Aus den bisherigen Ausführungen ergibt sich des Weiteren, dass es einem Spieler durchaus möglich ist, ohne Einfluss auf den Spielverlauf, mit blosser Auslösung des Spielstarts, Gewinne zu erlangen, dies selbst im Blindspiel, womit auch die Kriterien von Art. 1 GSV lit. b und c nicht erfüllt werden. Dass der "Super Competition" nicht über eine vorgegebene Auszahlungsquote im Sinne von Art. 1 lit. d GSV verfügt, wurde bereits unter E. 3.2.4 festgestellt. Selbst wenn man nun den Beschwerdeführerinnen zugutehalten würde, dass die Spieldurchführung transparent im Sinne von Art. 1 lit. e GSV wäre bzw. dass diese Transparenz durch zusätzliche Informationsangaben verbessert werden könnte, so vermag die Erfüllung dieses Kriteriums die Nichterfüllung der anderen Kriterien nicht aufzuwiegen. Der "Super Competition" und faktisch gleiche Geräte sind daher als Glücksspielautomaten im Sinne von Art. 3 Abs. 2 SBG i.V.m. Art. 1 GSV zu qualifizieren, die nur in konzessionierten Spielbanken betrieben werden dürfen (vgl. Art. 4 Abs. 1 SBG).</w:t>
      </w:r>
    </w:p>
    <w:p>
      <w:r>
        <w:rPr>
          <w:b/>
        </w:rPr>
        <w:t>E. 5</w:t>
      </w:r>
    </w:p>
    <w:p>
      <w:r>
        <w:t>Mit ihren Hinweisen auf die kaum mehr überblickbaren Angebote von Gewinnspielen in den Medien (sei dies nun elektronisch oder Print) rügen die Beschwerdeführerinnen zudem eine Verletzung der Rechtsgleichheit im Sinne von Art. 8 BV. Sie verkennen dabei jedoch, dass es grundsätzlich keinen Anspruch auf Gleichbehandlung im Unrecht gibt (Ulrich Häfelin/Georg Müller/Felix Uhlmann, Allgemeines Verwaltungsrecht, 6. Aufl., Zürich/St. Gallen 2010, S. 119, Rz. 518, m.w.H.). Das Vorliegen einer eigentlichen gesetzeswidrigen Praxis, welche in Ausnahmefällen einen solchen Anspruch gewähren könnte, liegt im vorliegenden Fall nicht vor, sind doch genügend Fälle bekannt, in welchen die jeweils zuständigen Behörden unzulässigen Gewinnspielen insbesondere im TV-Bereich nachgegangen sind und diese sanktioniert haben (vgl. zur Veranschaulichung zuletzt z.B. Urteil des Bundesgerichts 6B_775/2009 vom 18. Februar 2010 sowie Urteil des Bundesgerichts 6B_697/2009 vom 30. März 2010 oder zuvor schon z.B. BGE 132 II 240). Zudem ist diesbezüglich anzumerken, dass die Verfolgung und Beurteilung von Widerhandlungen gegen das Lotteriegesetz den Kantonen obliegt (Art. 47 LG) und die Vorinstanz lediglich für die Verfolgung von Widerhandlungen gegen das Spielbankengesetz zuständig ist (Art. 48 Abs. 1 u. 2 SBG). 6.Schliesslich rügt die Beschwerdeführerin 1 die Kostenregelung vor der Vorinstanz und bezeichnet die auferlegten Kosten als unangemessen und generalpräventiv. 6.1 Gemäss Art. 53 Abs. 3 SBG erhebt die Vorinstanz für ihre Verfügungen kostendeckende Gebühren. Diese hat zu entrichten, wer eine Dienstleistung der Vorinstanz oder eine Verfügung im Zusammenhang mit dem Vollzug der Spielbankengesetzgebung beansprucht oder veranlasst (Art. 112 Abs. 1 VSBG). Sind mehrere Personen gebührenpflichtig, so haften sie solidarisch, sofern die Vorinstanz keine andere Kostenaufteilung festlegt (Art. 112 Abs. 2 VSBG). Die Gebühren werden nach Zeitaufwand und der erforderlichen Sachkenntnis bemessen und deren Höhe liegt zwischen Fr. 100. und Fr. 350. pro Stunde, in Abhängigkeit der Funktionsstufe des ausführenden Personals und der Tatsache, ob ein Geschäft von der Vorinstanz oder ihrem Sekretariat behandelt wird (Art. 113 Abs. 1 VSBG). 6.2 Die von der Vorinstanz veranschlagten gesamthaften Kosten betrugen im vorliegenden Fall im Verfahren für den Zwischenentscheid Fr. 3'700. sowie im Hauptverfahren Fr. 24'800. . Die Vorinstanz auferlegte in der Folge die Kosten des Zwischenentscheides der Beschwerdeführerin 2, die Kosten des Hauptverfahrens je hälftig beiden Beschwerdeführerinnen (total Beschwerdeführerin 1: Fr. 12'400. ; total Beschwerdeführerin 2: Fr. 16'100. ). 6.3 Gemäss der eingereichten Kostenaufstellung verrechnete die Vorinstanz im vorliegenden Fall eine Arbeitszeit von 13,4 (Zwischenentscheid) bzw. 97,25 Stunden (Hauptentscheid). Die Aufstellung gibt dabei detailliert Auskunft über den Zeitpunkt, den Urheber sowie die jeweils ausgeführte Arbeit und den dafür benötigten Zeitaufwand. Der verrechnete Stundenansatz für die getätigten Arbeiten beträgt je nach Urheber zwischen Fr. 100. und Fr. 325. und entspricht somit den Voraussetzungen von Art. 113 Abs. 1 VSBG. Die vorliegend veranschlagten Kosten für die Arbeit von besonderen Fachkräften (insb. Juristen und Ingenieuren) entsprechen den in vergleichbaren Verfahren angewandten Ansätzen (vgl. Urteil des Bundesverwaltungsgerichts B-260/2009 vom 11. November 2009 E. 4.2 ff.). Der Aufwand von 13,4 bzw. 97,25 Stunden erscheint der verfahrensmässigen und rechtlichen Komplexität des Falles angemessen. Die Höhe der Kosten und deren Verteilung unter den Beschwerdeführerinnen ist somit nicht zu beanstanden. 7.Zusammenfassend ist festzuhalten, dass das Kriterium der "Planmässigkeit" beim "Super Competition" nicht gegeben ist und es sich beim Automaten und faktisch gleichen Geräten daher weder um eine Lotterie noch um eine lotterieähnliche Unternehmung im Sinne des Lotteriegesetzes bzw. der Lotterieverordnung handelt. Letztere Bestimmungen sind somit auf den "Super Competition" und faktisch gleiche Geräte nicht anwendbar. Der "Super Competition" und faktisch gleiche Geräte sind vielmehr als Glücksspielautomaten im Sinne von Art. 3 Abs. 2 SBG i.V.m. Art. 1 GSV zu qualifizieren, die nur in konzessionierten Spielbanken betrieben werden dürfen (vgl. Art. 4 Abs. 1 SBG). Anzeichen, dass die Vorinstanz in ihrem Prüfverfahren Verfahrensgarantien im Sinne von Art. 29 BV sowie den Grundsatz der Rechtsgleichheit im Sinne von Art. 8 BV verletzt bzw. willkürlich im Sinne von Art. 9 BV gehandelt hat, sind keine ersichtlich. Des Weiteren liegt auch keine Verletzung der Wirtschaftsfreiheit im Sinne von Art. 27 BV vor. 8.Bei diesem Ausgang des Verfahrens ergibt sich, dass die Beschwerdeführerinnen als vollständig unterlegene Parteien die Kosten des Verfahrens tragen (Art. 63 Abs. 1 VwVG, Art. 1 ff. des Reglements vom 21. Februar 2008 über die Kosten und Entschädigungen vor dem Bundesverwaltungsgericht [VGKE, SR 173.320.2]). Diese werden auf Fr. 10'000. festgelegt, den Parteien mit je Fr. 5'000. zu gleichen Teilen auferlegt und mit den von ihnen geleisteten Kostenvorschüssen in gleicher Höhe verrechnet. Die Beschwerdeführerinnen haben keinen Anspruch auf Parteientschädigung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