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B-7017/2008 vom 11. Februar 2010</w:t>
      </w:r>
    </w:p>
    <w:p>
      <w:r>
        <w:t>Bundesverwaltungsgericht, 2010-02-11, DE</w:t>
      </w:r>
    </w:p>
    <w:p>
      <w:r>
        <w:rPr>
          <w:b/>
        </w:rPr>
        <w:t xml:space="preserve">Quelle: </w:t>
      </w:r>
      <w:r>
        <w:t>https://mcp.opencaselaw.ch/entscheid/bvger_B-7017_2008</w:t>
      </w:r>
    </w:p>
    <w:p>
      <w:r>
        <w:t>FR: TAF B-7017/2008 du 11 février 2010</w:t>
      </w:r>
    </w:p>
    <w:p>
      <w:r>
        <w:t>IT: TAF B-7017/2008 del 11 febbraio 2010</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f. und 33 Bst. d VGG). Die Beschwerde wurde in der gesetzlichen Frist von Art. 50 Abs. 1 des Bundesgesetzes vom 20. Dezember 1968 über das Verwaltungsverfahren (VwVG; SR 172.021) am 6. November 2008 eingereicht und der verlangte Kostenvorschuss rechtzeitig geleistet. Als Adressatin der angefochtenen Verfügung ist die Beschwerdeführerin zur Beschwerde legitimiert (Art. 48 VwVG). Auf die Beschwerde ist daher einzutreten.</w:t>
      </w:r>
    </w:p>
    <w:p>
      <w:r>
        <w:rPr>
          <w:b/>
        </w:rPr>
        <w:t>E. 2</w:t>
      </w:r>
    </w:p>
    <w:p>
      <w:r>
        <w:t>Zeichen sind vom Markenschutz ausgeschlossen, wenn sie einer älteren Marke ähnlich und für gleiche oder gleichartige Waren oder Dienstleistungen registriert sind, so dass sich daraus eine Verwechslungsgefahr ergibt (Art. 3 Abs. 1 Bst. c des Bundesgesetzes vom 28. August 1992 über den Schutz von Marken und Herkunftsangaben [MSchG, SR 232.11]).</w:t>
      </w:r>
    </w:p>
    <w:p>
      <w:r>
        <w:rPr>
          <w:b/>
        </w:rPr>
        <w:t>E. 2.1</w:t>
      </w:r>
    </w:p>
    <w:p>
      <w:r>
        <w:t>Eine Verwechslungsgefahr besteht, wenn aufgrund der Ähnlichkeit der Marken Fehlzurechnungen zu befürchten sind, welche das besser berechtigte Zeichen in seiner Individualisierungsfunktion beeinträchtigen (BGE 127 III 166 E. 2a Securitas). Dabei ist nicht nur von einer Verwechslungsgefahr auszugehen, wenn die angesprochenen Verkehrskreise zwei Marken nicht auseinander zu halten vermögen (sogenannte unmittelbare Verwechslungsgefahr), sondern auch dann, wenn sie die Zeichen zwar auseinander halten können, aufgrund der Markenähnlichkeit aber unzutreffende Zusammenhänge vermuten - insbesondere an Serienmarken denken, die verschiedene Produktlinien ein und desselben Unternehmens oder verschiedener, wirtschaftlich miteinander verbundener Unternehmen kennzeichnen (sogenannte mittelbare Verwechslungsgefahr; BGE 128 III 445 E. 3.1 Appenzeller, BGE 122 III 384 E. 1 Kamillosan, je mit Hinweisen).</w:t>
      </w:r>
    </w:p>
    <w:p>
      <w:r>
        <w:rPr>
          <w:b/>
        </w:rPr>
        <w:t>E. 2.2</w:t>
      </w:r>
    </w:p>
    <w:p>
      <w:r>
        <w:t>Die Verwechslungsgefahr zweier Marken ist nicht aufgrund eines abstrakten Zeichenvergleichs, sondern stets vor dem Hintergrund der gesamten Umstände zu beurteilen. Es kommt einerseits auf den Umfang des Ähnlichkeitsbereichs an, dessen Schutz der Inhaber der älteren Marke beanspruchen kann, und anderseits auf die Waren und Dienstleistungen, für welche die sich gegenüberstehenden Marken hinterlegt sind (BGE 122 III 385 E. 1 Kamillosan).</w:t>
      </w:r>
    </w:p>
    <w:p>
      <w:r>
        <w:rPr>
          <w:b/>
        </w:rPr>
        <w:t>E. 2.3</w:t>
      </w:r>
    </w:p>
    <w:p>
      <w:r>
        <w:t>Die Zeichenähnlichkeit beurteilt sich nach dem Gesamteindruck, den die Marken im Erinnerungsbild der angesprochenen Verkehrskreise hinterlassen (BGE 121 III 378 E. 2a Boss, BGE 119 II 475 E. 2c Radion mit Hinweisen). Der Gesamteindruck wird bei Wortmarken durch den Klang, das Schriftbild und den Sinngehalt bestimmt. Bereits die Nähe auf einer der genannten Beurteilungsebenen kann genügen, um auf Zeichenähnlichkeit zu schliessen (EUGEN MARBACH, Markenrecht, in: Roland von Büren/Lucas David [Hrsg.], Schweizerisches Immaterialgüter- und Wettbewerbsrecht, Bd. III/1, Basel 2009, N. 875).</w:t>
      </w:r>
    </w:p>
    <w:p>
      <w:r>
        <w:rPr>
          <w:b/>
        </w:rPr>
        <w:t>E. 2.4</w:t>
      </w:r>
    </w:p>
    <w:p>
      <w:r>
        <w:t>Ob eine Verwechslungsgefahr besteht, hängt namentlich auch von der Kennzeichnungskraft der Widerspruchsmarke ab, da kennzeichnungskräftige Marken einen grösseren Schutzumfang verdienen (LUCAS DAVID, Markenschutzgesetz Muster- und Modellgesetz, 2. Aufl. Basel 1999, N. 13 zu Art. 3 MSchG, GALLUS JOLLER, in: Michael Noth/Gregor Bühler/Florent Thouvenin [Hrsg.], Markenschutzgesetz [MSchG], Bern 2009, Art. 3 N. 74 mit Hinweisen; BGE 122 III 385 f. E 2a Kamillosan, Urteile des Bundesverwaltungsgerichts B-7491/2006 vom 16. März 2007 E. 2 Yeni Raki/Yeni Efe, B-7442/2006 vom 18. Mai 2007 E. 2.2 Feel 'n learn/See 'n learn und B-4151/2009 vom 7. Dezember 2009 E. 7 Golay/Golay Spierer [fig.]). Bei schwachen Marken genügen daher schon bescheidenere Abweichungen, um eine hinreichende Unterscheidbarkeit zu schaffen. Schwach sind insbesondere Marken, deren prägende Elemente beschreibenden Charakter haben. Dagegen gelten Fantasiemarken, die mit einem gewissen Aufwand an Arbeit und Kreativität geschaffen wurden, als stark (vgl. BGE 122 III 385 E. 2a Kamillosan mit Hinweisen).</w:t>
      </w:r>
    </w:p>
    <w:p>
      <w:r>
        <w:rPr>
          <w:b/>
        </w:rPr>
        <w:t>E. 3</w:t>
      </w:r>
    </w:p>
    <w:p>
      <w:r>
        <w:t>Zu den massgebenden Verkehrskreisen gehören vorliegend in erster Linie Fachgeschäfte für Bürokommunikation sowie Unternehmen, Verwaltungen, Universitäten und Schulen, die die Produkte der Beschwerdeführerin zu beruflichen und schulischen Zwecken einsetzen. Es gehören aber auch private Konsumenten, also fachlich nicht geschulte Erwachsene dazu. Dies ergibt sich daraus, dass die Beschwerdeführerin ihre Projektoren ab 2002 auch als "Heimkino für jedermann" bewirbt.</w:t>
      </w:r>
    </w:p>
    <w:p>
      <w:r>
        <w:rPr>
          <w:b/>
        </w:rPr>
        <w:t>E. 4</w:t>
      </w:r>
    </w:p>
    <w:p>
      <w:r>
        <w:t>Vor einem Zeichenvergleich wird in einem ersten Schritt geprüft, ob die beanspruchten Waren und Dienstleistungen der sich gegenüberstehenden Marken aus Sicht der Abnehmerkreise gleichartig sind. Die Ähnlichkeit der beanspruchten Waren und Dienstleistungen in den Klassen 9 und 37 der angefochtenen Marke und in den Klassen 9 und 16 der Widerspruchsmarke wird von den Parteien zu Recht nicht bestritten. Insbesondere die "Fotografischen Apparate, Unterrichtsapparate, Geräte zur Aufzeichnung, Übertragung, Wiedergabe von Ton und Bild, Telekommunikationsgeräte, Datenverarbeitungsgeräte und Computer, Aufzeichnungsträger, elektronischen Speicher" in Klasse 9 der angefochtenen Marke stehen den für die Widerspruchsmarke eingetragenen elektronischen Bürogeräten und Projektoren sehr nahe.</w:t>
      </w:r>
    </w:p>
    <w:p>
      <w:r>
        <w:rPr>
          <w:b/>
        </w:rPr>
        <w:t>E. 5</w:t>
      </w:r>
    </w:p>
    <w:p>
      <w:r>
        <w:t>Die Widerspruchsmarke ist eine reine Wortmarke, sie besteht aus dem Wort "PLUS". Die angefochtene Marke besteht aus dem in fetten Grossbuchstaben geschriebenen Wort "PLUSPLUS", dem am Anfang und am Ende je zwei Pluszeichen "+" beigefügt sind. Sie ist als kombinierte Marke hinterlegt, besitzt aber keinen Zusatz in Form eines Bildelements: Die einzigen figurativen Elemente bestehen in der Fett- und Grossschreibung des Worts "PLUSPLUS". Die angefochtene Marke ist deshalb als geringfügig formatiertes mit den Symbolen "++" ergänztes Wort mit der Widerspruchsmarke zu vergleichen. Sie unterscheidet sich von der Widerspruchsmarke dadurch, dass sie das darin verwendete Wort verdoppelt und diesem vorne und hinten das ebenfalls verdoppelte Zeichen in Form eines Kreuzes beifügt, das für Plus steht. Um das Vorliegen der Verwechslungsgefahr zu beurteilen, ist der Schutzumfang der Widerspruchsmarke und damit deren Kennzeichnungskraft zu prüfen (vgl. E. 2.4).</w:t>
      </w:r>
    </w:p>
    <w:p>
      <w:r>
        <w:rPr>
          <w:b/>
        </w:rPr>
        <w:t>E. 5.1</w:t>
      </w:r>
    </w:p>
    <w:p>
      <w:r>
        <w:t>Die Beschwerdeführerin führt in ihrer Beschwerdeschrift selbst aus, das Wort PLUS sei grundsätzlich nicht kennzeichnungskräftig. So sind Kennzeichen mit einem unbestimmten anpreisenden Sinngehalt im Grunde vom Markenschutz ausgeschlossen (BGE 108 II 489 E. 3 Vantage mit weiteren Hinweisen, BGE 95 II 467 E. II.2 Parisiennes, Urteil des Bundesgerichts in PMMBl 1984 S. 80 Trend); ob die Marke als Qualitätshinweis oder als blosse Übertreibung verstanden wird, ist dabei irrelevant (BGE 96 I 250 E. 2 Dominant). "Plus" als Substantiv bedeutet "Mehr, Überschuss, Gewinn; Vorteil" (Duden, Die deutsche Rechtschreibung, 24. Aufl. Mannheim 2006, S. 792). Zwar wird damit nicht direkt eine Eigenschaft beschrieben, es wird aber angedeutet, das gekennzeichnete Produkt verspreche einen Mehrwert gegenüber Konkurrenzprodukten. Dies reduziert die Kennzeichnungskraft der Widerspruchsmarke. Nicht richtig ist die Ansicht der Beschwerdeführerin, einer eingetragenen Marke sei mindestens Identitätsschutz oder sogar ein darüber hinausreichender Schutzumfang zuzubilligen. Wie das Bundesverwaltungsgericht mehrfach festgestellt hat, kann sich der Schutzumfang einer Marke nach ihrer Eintragung auch verändern und unter Umständen derart abschwächen, dass die Marke nur gegenüber identischer Benutzung Schutz verdient (vgl. Urteile des Bundesverwaltungsgerichts B-502/2009 vom 3. November 2009 E. 5.2.1 Premium Ingredients und B-5440/2008 vom 24. Juli 2009 E. 6.2 Jump [fig.]/Jumpman). Ein Schutzumfang kann sogar so geschwächt sein, dass die betroffene Marke nicht einmal mehr gegen ihre identische Verwendung durch einen Dritten geschützt ist (vgl. GREGOR WILD, in: Markus Noth/Gregor Bühler/Florent Thouvenin [Hrsg.], Markenschutzgesetz [MSchG], Bern 2009, Art. 31 N. 10).</w:t>
      </w:r>
    </w:p>
    <w:p>
      <w:r>
        <w:rPr>
          <w:b/>
        </w:rPr>
        <w:t>E. 5.2</w:t>
      </w:r>
    </w:p>
    <w:p>
      <w:r>
        <w:t>Die Beschwerdeführerin macht geltend, die Widerspruchsmarke PLUS habe sich im Verkehr durchgesetzt und damit Kennzeichnungskraft erlangt. Entsprechend ist sie auch als durchgesetzte Marke im Markenregister eingetragen. Die Verkehrsdurchsetzung ist für die Eintragung einer zum Gemeingut gehörende Marke gemäss Art. 2 Bst. a MSchG vorausgesetzt (BGE 130 III 480 E. 3.3 Lernstudio). Für das Widerspruchsverfahren verweist Art. 31 MSchG jedoch ausschliesslich auf Art. 3 Abs. 1 MSchG; im Rahmen des verwaltungsrechtlichen Widerspruchsverfahrens prüft das Gericht deshalb lediglich das Vorliegen einer Verwechslungsgefahr als relativen Ausschlussgrund, nicht auch die absoluten Ausschlussgründe nach Art. 2 MSchG (vgl. RKGE vom 7. April 2005 E. 6 Marché). Die Verkehrsdurchsetzung zählt folglich nicht zum Streitgegenstand des vorliegenden Verfahrens. Der Eintrag einer Marke im Register als durchgesetzte Marke gibt aus diesem Grund keine Auskunft über deren Schutzumfang (vgl. MARBACH, a.a.O., N. 984). Die Widerspruchsmarke kann ihre Kennzeichnungskraft zufolge langjähriger und intensiver Benutzung in der Schweiz gesteigert haben und so zu einer bekannten Marke mit erweitertem Schutzbereich geworden sein (GALLUS JOLLER, a.a.O., Art. 3 N. 98 mit Hinweisen). Die Frage des erhöhten Schutzumfangs einer Marke infolge ihrer gesteigerten Bekanntheit ist als Tatbestand, wenn auch nicht als Rechtsfrage, mit jener verwandt, ob eine Marke durch Verkehrsdurchsetzung Schutz erlangt (vgl. BGE 130 III 281 E. 4.7.3 Tripp Trapp, wo die Notorietät einer Marke als Verkehrsgeltung im massgebenden Kreis beschrieben wird). Die Grundsätze von Art. 2 MSchG sind entsprechend auf die im Widerspruchsverfahren zu beurteilende Kennzeichnungskraft anwendbar (GREGOR WILD, a.a.O., Art. 31 N. 9 mit Hinweisen). Entsprechend wurde die Beschwerdeführerin vom Bundesverwaltungsgericht zum Beweis aufgefordert, als der Beschwerdegegner die Verkehrsdurchsetzung (gemeint Bekanntheit) der ursprünglichen Marke bestritt.</w:t>
      </w:r>
    </w:p>
    <w:p>
      <w:r>
        <w:rPr>
          <w:b/>
        </w:rPr>
        <w:t>E. 5.3</w:t>
      </w:r>
    </w:p>
    <w:p>
      <w:r>
        <w:t>Um die Verkehrsdurchsetzung zu belegen, hat die Beschwerdeführerin fünf Ordner mit Unterlagen eingereicht und die Durchführung einer Umfrage angeboten. Die Unterlagen sind als Bekanntheitsbelege entgegenzunehmen und zu prüfen, eine Umfrage wurde nicht eingereicht. Es handelt sich dabei um folgende Belege: Im ersten Ordner finden sich Nachweise für eine Teilnahme an der Herbstmesse Zürich 2006, ein Dutzend Werbeinserate oder -beilagen in verschiedenen Zeitschriften und Magazinen aus 2002 und 2006 namentlich für "PLUS"-Projektoren sowie einen Zeitungsartikel über die Beschwerdeführerin aus 2002. Die Inserate finden sich insbesondere in Fachzeitschriften zu Elektronik sowie auch in der Tagespresse. Damit ist erstellt, dass die Beschwerdeführerin ihre Produkte, namentlich Projektoren, mit der Bezeichnung "PLUS" in den Jahren 2002 und 2006 bei einem breiten Publikum in der Schweiz beworben hat. Sowohl der zweite wie auch der dritte Ordner enthalten Kataloge, Prospekte und Preislisten der Beschwerdeführerin aus den Jahren 1990-1992 und 1996-2008. In diesen Unterlagen wird das Zeichen "PLUS" für elektronische Tafeln, Projektoren, Visualizer, Brieffalzmaschinen, Laser Pointer, "Taschenbüros", Fotocameras sowie verschiedenem Bürokleinmaterial wie Scheren, Hefter oder Spitzmaschinen gebraucht. Die meisten dieser Produkte sind direkt mit "PLUS" beschriftet. Der vierte Ordner enthält Belege zum Marktanteil, zu Umsätzen, Verkaufszahlen sowie zum Marketingaufwand in der Schweiz. Die Ermittlungen der Marktstellung stammen aus dem 1. Halbjahr 2000. Sie geben Auskunft über die Stellung von Plus in Bezug auf den Preis, "Value" und "Quantity" sowie aufgeteilt nach Geräten. Laut einer Aufstellung der Futuresource Consulting lag Plus über die Jahre 2004-2008 in der Schweiz an 14. Stelle. Rechnungsstatistiken der Beschwerdeführerin liegen aus den Jahren 1998, 2000-2002 und 2003-2005 vor. Zu den Umsatzzahlen für die PLUS-Projektoren bestehen Listen aus den Jahren 2006-2008, für Produktegruppen, die sowohl Waren aus der Klasse 9 wie auch aus der Klasse 16 enthalten, aus den Jahren 2002-2008. Listen von 2006-2008 belegen Lieferungen von Projektoren und elektronischen Tafeln an die Verkaufsstellen Media Markt und Zihlmann. Mit entsprechenden Unterlagen von 1999 zeigt die Beschwerdeführerin auf, dass sie zu ihren Produkten Informationsveranstaltungen und Pressebriefings durchführt. Über weitere Werbeanstrengungen sowie die Teilnahme an der Messe Orbit 1999 geben verschiedene Unterlagen Auskunft. Die Unterlagen im fünften Ordner belegen Lieferungen von mit "PLUS" bezeichneten Produkten der Beschwerdeführerin insbesondere an die Detailhandelskette Coop und den Beschwerdegegner. Bei den Produkten handelt es sich vor allem um Heftmaschinen, Beschriftungsgeräte sowie Korrekturstifte und -roller. Die Beschriftungsgeräte sind nicht mehr im Sortiment der Beschwerdeführerin, Lieferungen der dazugehörenden Schriftbänder sind jedoch bis 2004 belegt.</w:t>
      </w:r>
    </w:p>
    <w:p>
      <w:r>
        <w:rPr>
          <w:b/>
        </w:rPr>
        <w:t>E. 5.4</w:t>
      </w:r>
    </w:p>
    <w:p>
      <w:r>
        <w:t>Aus den eingereichten Belegen ergibt sich, dass die Beschwerdeführerin das Kennzeichen "PLUS" seit mehreren Jahren ununterbrochen für verschiedene ihrer Büroartikel gebraucht. Vorliegend in erster Linie zu berücksichtigen ist der Gebrauch für die Waren der Klasse 9, auf welche sich das Widerspruchsverfahren bezieht. Demgegenüber fallen Schreib- und Bürokleinartikel wie Hefter, Beschriftungsgeräte, Korrekturstifte usw. in Klasse 16.</w:t>
      </w:r>
    </w:p>
    <w:p>
      <w:r>
        <w:rPr>
          <w:b/>
        </w:rPr>
        <w:t>E. 5.5</w:t>
      </w:r>
    </w:p>
    <w:p>
      <w:r>
        <w:t>Die Aufmerksamkeit des Nichtfachmanns ist für Büroartikel elektronischer wie auch nichtelektronischer Art weniger gross, so dass die Widerspruchsmarke nicht als individualisierender Hinweis auf bestimmte Produkte eines bestimmten Unternehmens verstanden wird. Es ist keine derart gesteigerte Bekanntheit der Marke "PLUS" für die hier relevanten Waren und Dienstleistungen beim massgebenden Publikum dargetan, dass die erhebliche Banalität der Marke genügend kompensiert würde.</w:t>
      </w:r>
    </w:p>
    <w:p>
      <w:r>
        <w:rPr>
          <w:b/>
        </w:rPr>
        <w:t>E. 6</w:t>
      </w:r>
    </w:p>
    <w:p>
      <w:r>
        <w:t>Die Beschwerdeführerin kann sich daher nicht auf eine erhöhte Kennzeichnungskraft des Widerspruchzeichens zur Begründung einer (mittelbaren) Verwechslungsgefahr berufen. Ob ihrer Marke überhaupt ein Identitätsschutz zuzubilligen ist, kann jedoch offengelassen werden, da die bestehenden Abweichungen zur Vermeidung einer Verwechslungsgefahr im vorliegenden Fall ausreichen: Mit der Verdoppelung des Worts "Plus" sowie den Zusätzen "++" am Anfang und Ende der Marke ist das Schriftbild der angefochtenen Marke deutlich unterscheidbar von jenem der Widerspruchsmarke. Es sind damit genügend Abweichungen gegeben, die die Widerspruchsmarke nicht überwinden kann.</w:t>
      </w:r>
    </w:p>
    <w:p>
      <w:r>
        <w:rPr>
          <w:b/>
        </w:rPr>
        <w:t>E. 7</w:t>
      </w:r>
    </w:p>
    <w:p>
      <w:r>
        <w:t>Bei diesem Ausgang des Verfahrens wird die Beschwerdeführerin kosten- und entschädigungspflichtig (Art. 63 Abs. 1 und Art. 64 Abs. 1 VwVG).</w:t>
      </w:r>
    </w:p>
    <w:p>
      <w:r>
        <w:rPr>
          <w:b/>
        </w:rPr>
        <w:t>E. 7.1</w:t>
      </w:r>
    </w:p>
    <w:p>
      <w:r>
        <w:t>Die Gerichtsgebühr ist nach Umfang und Schwierigkeit der Streitsache, Art der Prozessführung und finanzieller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bei eher unbedeutenden Zeichen ein Streitwert zwischen Fr. 50'000.- und Fr. 100'000.- angenommen werden darf (BGE 133 III 492 E. 3.3 Turbinenfuss [3D] mit Hinweisen). Aufgrund des vorliegend anzunehmenden Streitwerts werden die Verfahrenskosten auf Fr. 4'000.- festgelegt.</w:t>
      </w:r>
    </w:p>
    <w:p>
      <w:r>
        <w:rPr>
          <w:b/>
        </w:rPr>
        <w:t>E. 7.2</w:t>
      </w:r>
    </w:p>
    <w:p>
      <w:r>
        <w:t>Die Parteientschädigung ist gemäss Art. 14 Abs. 2 VGKE auf Grund der eingereichten Kostennote festzusetzen. Die Beschwerdegegnerin hat mit ihrer Stellungnahme vom 17. Juni 2009 eine angepasste Kostennote eingereicht. Diese geht von einem Totalbetrag von Fr. 10'722.60 (inkl. MWSt) aus. Die Kostennote erscheint selbst unter Berücksichtigung des Schwierigkeitsgrades sowie der umfangreichen Beweismittel, die die Beschwerdeführerin im Beschwerdeverfahren eingereicht hat, höher als die effektiv notwendigen Kosten (Art. 7 Abs. 1 VGKE). Sie ist daher angemessen herabzusetzen. In Würdigung der Rechtsschriften der Beschwerdegegnerin erscheint somit eine Parteientschädigung von Fr. 4'000.- (inkl. MWSt) für das Beschwerdeverfahren als angemessen.</w:t>
      </w:r>
    </w:p>
    <w:p>
      <w:r>
        <w:rPr>
          <w:b/>
        </w:rPr>
        <w:t>E. 8</w:t>
      </w:r>
    </w:p>
    <w:p>
      <w:r>
        <w:t>Gegen dieses Urteil steht keine Beschwerde ans Bundesgericht zur Verfügung (Art. 73 des Bundesgerichtsgesetzes vom 17. Juni 2005 [BGG, SR 173.110]). Es ist somit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