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B-6994/2016 vom 27. März 2017</w:t>
      </w:r>
    </w:p>
    <w:p>
      <w:r>
        <w:t>Bundesverwaltungsgericht, 2017-03-27, FR</w:t>
      </w:r>
    </w:p>
    <w:p>
      <w:r>
        <w:rPr>
          <w:b/>
        </w:rPr>
        <w:t xml:space="preserve">Quelle: </w:t>
      </w:r>
      <w:r>
        <w:t>https://mcp.opencaselaw.ch/entscheid/bvger_B-6994_2016</w:t>
      </w:r>
    </w:p>
    <w:p>
      <w:r>
        <w:t>FR: TAF B-6994/2016 du 27 mars 2017</w:t>
      </w:r>
    </w:p>
    <w:p>
      <w:r>
        <w:t>IT: TAF B-6994/2016 del 27 marzo 2017</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à la recourante (cf. art. 48 al. 1 PA). Les autres conditions de recevabilité sont en outre respectées (cf. art. 50, 52 al. 1 et 63 al. 4 PA). Le recours est ainsi recevable.</w:t>
      </w:r>
    </w:p>
    <w:p>
      <w:r>
        <w:rPr>
          <w:b/>
        </w:rPr>
        <w:t>E. 2</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121 I 225 consid. 4b ; ATAF 2010/11 consid. 4.1, 2008/14 consid. 3.1 ; arrêt du TAF B-4257/2013 du 17 novembre 2015 consid. 3.1 ; Herbert Plotke, Schweizerisches Schulrecht, 2e éd., Berne 2003, p. 722 ss). L'évaluation des épreuves requiert en effet le plus souvent des connaissances particulières dont l'autorité de recours ne dispose pas (ATAF 2008/14 consid. 3.1). Cette retenue s'impose également dans les cas où l'autorité de recours serait en mesure de se livrer à une évaluation plus approfondie en raison de ses connaissances professionnelles sur le fond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2010/11 consid. 4.1, 2008/14 consid. 3.1, arrêt du TAF B-6326/2015 du 30 novembre 2016 consid. 5.1.2). Dans la mesure où la recourante conteste l'interprétation et l'application de prescriptions légales ou si elle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 arrêt du TAF B-6395/2014 du 29 novembre 2016 consid. 3.3 et les références citées ; Patricia Egli, Gerichtlicher Rechtsschutz bei Prüfungsfällen - Aktuelle Entwicklungen, Schweizerisches Zentralblatt für Staats- und Verwaltungs-recht [ZBl] 112/2011, p. 538 ss ; Plotke, op. cit., p. 725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celle de l'examen écrit de questionnaire à choix multiples (art. 10).</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w:t>
      </w:r>
    </w:p>
    <w:p>
      <w:r>
        <w:rPr>
          <w:b/>
        </w:rPr>
        <w:t>E. 3.4</w:t>
      </w:r>
    </w:p>
    <w:p>
      <w:r>
        <w:t>Fondée sur ce qui précède, la Commission d'examen de médecine humaine a édicté diverses réglementations relatives à l'examen fédéral de médecine humaine, valables pour l'année d'examen 2016 et approuvées par la MEBEKO, section "formation universitaire". Elle a notamment adopté les directives de la Commission d'examen de médecine humaine concernant notamment l'orientation du contenu, le nombre de questions, de tâches à résoudre et de stations, l'étendue de l'examen, la durée, le déroulement, le dépouillement et l'évaluation, l'instruction des candidats ainsi que les moyens auxiliaires autorisés (approuvées par la MEBEKO le 17 février 2016 ; ci-après : les directives de la Commission).</w:t>
      </w:r>
    </w:p>
    <w:p>
      <w:r>
        <w:rPr>
          <w:b/>
        </w:rPr>
        <w:t>E. 4</w:t>
      </w:r>
    </w:p>
    <w:p>
      <w:r>
        <w:t>La recourante se plaint de ce qu'en violation des directives de la Commission, aucune montre n'a été visible durant la première heure de son examen théorique de questions à choix multiples. Il s'agit d'un grief de nature formelle dès lors qu'il a trait au déroulement de l'examen (cf. consid. 2).</w:t>
      </w:r>
    </w:p>
    <w:p>
      <w:r>
        <w:rPr>
          <w:b/>
        </w:rPr>
        <w:t>E. 4.1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arrêts du TAF B-7315/2015 du 23 août 2016 consid.5.1.1, B-3542/2010 du 14 octobre 2010 consid. 5 et B-6500/2008 du 19 mars 2009 consid. 5.1.1).</w:t>
      </w:r>
    </w:p>
    <w:p>
      <w:r>
        <w:rPr>
          <w:b/>
        </w:rPr>
        <w:t>E. 4.2</w:t>
      </w:r>
    </w:p>
    <w:p>
      <w:r>
        <w:t>Les directives de la Commission prévoient expressément que, à cause de l'interdiction des montres poignet (risque de montre connectée), il faut s'assurer que tous les candidats puissent voir l'heure depuis leur place, afin d'organiser le temps d'examen (art. 3.1).</w:t>
      </w:r>
    </w:p>
    <w:p>
      <w:r>
        <w:rPr>
          <w:b/>
        </w:rPr>
        <w:t>E. 4.3</w:t>
      </w:r>
    </w:p>
    <w:p>
      <w:r>
        <w:t>En l'occurrence, il n'est pas contesté qu'aucune horloge n'a été visible durant la première heure de l'examen en cause, ou à tout le moins ne l'a été que difficilement. Il s'ensuit une violation des directives de la Commission sur ce point.</w:t>
      </w:r>
    </w:p>
    <w:p>
      <w:r>
        <w:rPr>
          <w:b/>
        </w:rPr>
        <w:t>E. 4.4</w:t>
      </w:r>
    </w:p>
    <w:p>
      <w:r>
        <w:t>Il convient toutefois encore de déterminer si ce vice dans le déroulement de l'examen a pu exercer une influence défavorable sur les résultats de la recourante. En l'espèce, celle-ci n'a pas pu, au terme de l'examen, retranscrire les 60 premières réponses dans la grille d'évaluation. Dans le temps supplémentaire de dix minutes qui lui a été attribué, elle y a remédié. La correction de ces réponses a même démontré que leur prise en compte lui permettrait de réussir son examen. Aussi, c'est le temps qui a manqué à la recourante pour achever la retranscription des réponses et, ainsi, réussir l'examen. Or, la possibilité de visualiser en permanence une horloge durant l'examen a précisément pour but de permettre aux candidats d'organiser efficacement le temps à disposition. Dans ces circonstances, il y a donc lieu d'admettre que le vice formel lié au défaut de montre durant la première heure de l'examen a eu une incidence sur l'organisation de son examen par la recourante et, par conséquent, qu'il existe un lien de causalité suffisant avec l'échec de celle-ci, lequel est justement dû à un manque de temps. Bien fondé, le grief doit être admis.</w:t>
      </w:r>
    </w:p>
    <w:p>
      <w:r>
        <w:rPr>
          <w:b/>
        </w:rPr>
        <w:t>E. 4.5</w:t>
      </w:r>
    </w:p>
    <w:p>
      <w:r>
        <w:t>Compte tenu de l'admission de ce grief de nature formelle, le présent recours doit être accueilli et la décision attaquée annulée, la recourante étant autorisée à repasser l'épreuve théorique de questions à choix multiples. On ne saurait en effet faire droit à la conclusion principale de la recourante, l'existence d'un vice de nature formelle lui permettant uniquement de repasser l'examen en question (cf. supra consid. 4.2).</w:t>
      </w:r>
    </w:p>
    <w:p>
      <w:r>
        <w:rPr>
          <w:b/>
        </w:rPr>
        <w:t>E. 5</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de frais de 1'000 francs versée, le 15 décembre 2016, par la recourante doit lui être restituée.</w:t>
      </w:r>
    </w:p>
    <w:p>
      <w:r>
        <w:rPr>
          <w:b/>
        </w:rPr>
        <w:t>E. 6</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La recourante n'est pas représentée par un avocat ou un autre mandataire et n'a pas fait valoir d'autres frais nécessaires. Il n'y a en conséquence pas lieu de lui allouer de dépens.</w:t>
      </w:r>
    </w:p>
    <w:p>
      <w:r>
        <w:rPr>
          <w:b/>
        </w:rPr>
        <w:t>E. 7</w:t>
      </w:r>
    </w:p>
    <w:p>
      <w:r>
        <w:t>Les décisions relatives au résultat d'examens n'étant pas susceptibles de recours en matière de droit public au Tribunal fédéral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