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B-6988/2009 vom 8. November 2010</w:t>
      </w:r>
    </w:p>
    <w:p>
      <w:r>
        <w:t>Bundesverwaltungsgericht, 2010-11-08, DE</w:t>
      </w:r>
    </w:p>
    <w:p>
      <w:r>
        <w:rPr>
          <w:b/>
        </w:rPr>
        <w:t xml:space="preserve">Quelle: </w:t>
      </w:r>
      <w:r>
        <w:t>https://mcp.opencaselaw.ch/entscheid/bvger_B-6988_2009</w:t>
      </w:r>
    </w:p>
    <w:p>
      <w:r>
        <w:t>FR: TAF B-6988/2009 du 8 novembre 2010</w:t>
      </w:r>
    </w:p>
    <w:p>
      <w:r>
        <w:t>IT: TAF B-6988/2009 del 8 novembre 2010</w:t>
      </w:r>
    </w:p>
    <w:p>
      <w:pPr>
        <w:pStyle w:val="Heading2"/>
      </w:pPr>
      <w:r>
        <w:t>Regeste</w:t>
      </w:r>
    </w:p>
    <w:p>
      <w:r>
        <w:t>Direktzahlungen und Ökobeiträge</w:t>
      </w:r>
    </w:p>
    <w:p>
      <w:pPr>
        <w:pStyle w:val="Heading2"/>
      </w:pPr>
      <w:r>
        <w:t>Erwägungen</w:t>
      </w:r>
    </w:p>
    <w:p>
      <w:r>
        <w:rPr>
          <w:b/>
        </w:rPr>
        <w:t>E. 1</w:t>
      </w:r>
    </w:p>
    <w:p>
      <w:r>
        <w:t>Die vorliegende Beschwerde richtet sich gegen den Entscheid der Landwirtschaftlichen Rekurskommission des Kantons Aargau vom 23. September 2009. Dabei handelt es sich um einen letztinstanzlichen kantonalen Entscheid (§ 41 Abs. 3 des Gesetzes über die Erhaltung und Förderung der Landwirtschaft vom 11. November 1980, [Systematische Rechtssammlung des Kantons Aargau, SAR 910.100] i.V.m. Art. 166 Abs. 2 des Bundesgesetzes über die Landwirtschaft vom 29. April 1998 [Landwirtschaftsgesetz, LwG, SR 910.1]), der in Anwendung von öffentlichem Recht des Bundes erging. Er stellt eine Verfügung im Sinne von Art. 5 Abs. 2 des Bundesgesetzes vom 20. Dezember 1968 über das Verwaltungsverfahren (Verwaltungsverfahrensgesetz, VwVG, SR 172.021) dar. Das Bundesverwaltungsgericht, welches gemäss Art. 31 des Verwaltungsgerichtsgesetzes vom 17. Juni 2005 (VGG, SR 173.32) als Beschwerdeinstanz Beschwerden gegen Verfügungen nach Art. 5 VwVG beurteilt, ist nach Art. 33 Bst. i VGG und Art. 166 Abs. 2 LwG für die Behandlung der vorliegenden Streitsache zuständig, zumal keine Ausnahme nach Art. 32 VGG greift. Der Beschwerdeführer hat am Verfahren vor der Vorinstanz teilgenommen und ist durch die angefochtene Verfügung besonders berührt. Er hat ein schutzwürdiges Interesse an deren Aufhebung oder Änderung, weshalb er zur Beschwerde legitimiert ist (Art. 48 Abs. 1 VwVG). Eingabefrist und -form sind gewahrt (Art. 50 und 52 Abs. 1 VwVG), der Kostenvorschuss wurde fristgemäss bezahlt (Art. 63 Abs. 4 VwVG) und die übrigen Sachurteilsvoraussetzungen liegen vor (Art. 44 ff. VwVG). Auf die Beschwerde ist daher einzutreten.</w:t>
      </w:r>
    </w:p>
    <w:p>
      <w:r>
        <w:rPr>
          <w:b/>
        </w:rPr>
        <w:t>E. 2</w:t>
      </w:r>
    </w:p>
    <w:p>
      <w:r>
        <w:t>Der Beschwerdeführer macht sinngemäss geltend, der Ausschluss seiner mit "Bauernhanf" bzw. "cannabis sativa non indica" angebauten Fläche von D._______ Aren von den Flächenbeiträgen sei nicht rechtmässig.</w:t>
      </w:r>
    </w:p>
    <w:p>
      <w:r>
        <w:rPr>
          <w:b/>
        </w:rPr>
        <w:t>E. 2.1</w:t>
      </w:r>
    </w:p>
    <w:p>
      <w:r>
        <w:t>Nach Art. 70 Abs. 1 LwG richtet der Bund Bewirtschaftern und Bewirtschafterinnen von bodenbewirtschaftenden bäuerlichen Betrieben unter der Voraussetzung des ökologischen Leistungsnachweises allgemeine Direktzahlungen, Ökobeiträge und Ethobeiträge aus. Als allgemeine Direktzahlungen gelten auch Flächenbeiträge (Art. 1 Abs. 2 Bst. a der Verordnung vom 7. Dezember 1998 über die Direktzahlungen an die Landwirtschaft [Direktzahlungsverordnung, DZV, SR 910.13]). Allerdings berechtigen landwirtschaftliche Nutzflächen, die mit Hanf belegt sind, grundsätzlich nicht zu Direktzahlungen (Art. 4 Abs. 1 DZV). Die Direktzahlungsverordnung verbietet zwar nicht den Anbau von Hanf als solchem, hält aber fest, dass für Flächen, die mit Hanf bewirtschaftet werden, Direktzahlungen nur ausgerichtet werden, wenn verschiedene, kumulative Voraussetzungen erfüllt sind: So darf der Bewirtschafter oder die Bewirtschafterin nur Saatgut von Sorten verwenden, die im Anhang 4 der Sortenkatalog-Verordnung vom 7. Dezember 1998 (Verordnung des BLW über den Sortenkatalog für Getreide, Kartoffeln, Futterpflanzen, Öl- und Faserpflanzen, sowie Betarüben vom 7. Dezember 1998 [SR 916.151.6]) oder im gemeinsamen Sortenkatalog der Europäischen Gemeinschaft (Gemeinsamer Sortenkatalog für landwirtschaftliche Pflanzenarten, 23. Gesamtausgabe, ABl. C 046 vom 22. Februar 2005, S. 1) aufgelistet sind. Er darf nur zertifiziertes Saatgut verwenden und der Hanf darf nicht einem vorschriftswidrigen oder unerlaubten Verwendungszweck zugeführt werden. Dem Bewirtschafter oder der Bewirtschafterin obliegt die Pflicht zum Nachweis, dass diese Voraussetzungen eingehalten sind (Art. 4 Abs. 1bis DZV). Diese Bestimmungen wurden im Rahmen der Änderung der Direktzahlungsverordnung vom 14. November 2007 eingeführt (AS 2007 6117) und sind seit dem 1. Januar 2008 in Kraft.</w:t>
      </w:r>
    </w:p>
    <w:p>
      <w:r>
        <w:rPr>
          <w:b/>
        </w:rPr>
        <w:t>E. 2.2</w:t>
      </w:r>
    </w:p>
    <w:p>
      <w:r>
        <w:t>Im vorliegenden Fall ist unbestritten, dass der Beschwerdeführer in Bezug auf die in Frage stehenden D._______ Aren die in Art. 4 Abs. 1bis DZV festgelegten Voraussetzungen nicht erfüllt. Er hat "Bauernhanf" bzw. die Hanfsorte "cannabis sativa non indica" angebaut. Diese Sorte ist weder im Anhang 4 der Sortenkatalog-Verordnung noch im gemeinsamen Sortenkatalog der Europäischen Gemeinschaft aufgeführt.</w:t>
      </w:r>
    </w:p>
    <w:p>
      <w:r>
        <w:rPr>
          <w:b/>
        </w:rPr>
        <w:t>E. 2.3</w:t>
      </w:r>
    </w:p>
    <w:p>
      <w:r>
        <w:t>Der Beschwerdeführer rügt indessen, dass die Änderung der Direktzahlungsverordnung vom 14. November 2007 zu einer rechtsungleichen Behandlung von zwei gleichen, legalen Hanfsorten geführt habe. Dass mit Art. 4 Abs. 1bis Bst. a und b DZV dem einheimischen, nicht aber dem ausländischen Hanf der Anspruch auf Flächenbeiträge gestrichen worden sei, sei grundlos und verstosse damit gegen das Rechtsgleichheitsgebot und das Willkürverbot. Demgegenüber bestreiten die Vorinstanzen, dass die beiden Hanfsorten gleich seien. Der heimische "Bauernhanf" weise regelmässig einen deutlich höheren THC-Gehalt auf.</w:t>
      </w:r>
    </w:p>
    <w:p>
      <w:r>
        <w:rPr>
          <w:b/>
        </w:rPr>
        <w:t>E. 2.3.1</w:t>
      </w:r>
    </w:p>
    <w:p>
      <w:r>
        <w:t>Das Bundesverwaltungsgericht kann Verordnungen des Bundesrates vorfrageweise auf ihre Gesetzes- und Verfassungsmässigkeit prüfen. Bei unselbständigen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weiter Ermessensspielraum für die Regelung auf Verordnungsstufe eingeräumt, so ist dieser Spielraum nach Art. 190 der Bundesverfassung der Schweizerischen Eidgenossenschaft vom 18. April 1999 (BV, SR 101) für das 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(BGE 131 II 13 E. 6.1 mit Hinweisen). Es kann dabei namentlich prüfen, ob sich eine Verordnungsbestimmung auf ernsthafte Gründe stützen lässt oder ob sie Art. 9 BV widerspricht, weil sie sinn- und zwecklos ist, rechtliche Unterscheidungen trifft, für die ein vernünftiger Grund in den tatsächlichen Verhältnissen nicht ersichtlich ist, oder Unterscheidungen unterlässt, die richtigerweise hätten getroffen werden müssen. Für die Zweckmässigkeit der angeordneten Massnahme trägt der Bundesrat die Verantwortung. Es ist nicht Aufgabe des Bundesverwaltungsgerichts, sich zu deren wirtschaftlichen oder politischen Sachgerechtigkeit zu äussern (BGE 133 V 569 E. 5.1 mit Hinweisen).</w:t>
      </w:r>
    </w:p>
    <w:p>
      <w:r>
        <w:rPr>
          <w:b/>
        </w:rPr>
        <w:t>E. 2.3.2</w:t>
      </w:r>
    </w:p>
    <w:p>
      <w:r>
        <w:t>Im Landwirtschaftsrecht überliess der Gesetzgeber dem Bundesrat als Verordnungsgeber einen grossen Spielraum. So darf der Bundesrat die Ausrichtung der allgemeinen Direktzahlungen und damit auch der Flächenbeiträge mit Auflagen verknüpfen (Art. 70 Abs. 6 Bst c LwG). Der Bundesrat kann auch vorschreiben, dass von einzelnen Pflanzenarten nur Sorten in die Schweiz eingeführt, in Verkehr gebracht, anerkannt oder verwendet werden dürfen, die in einem Sortenkatalog aufgenommen worden sind. Er regelt die Voraussetzungen für die Aufnahme in die Sortenkataloge. Er kann das Bundesamt ermächtigen, Sortenkataloge zu erlassen Art. 162 Abs. 1 und 2 LwG). Eine Botschaft oder andere Materialien, aus denen hervorgehen würde, warum der Verordnungsgeber den hier in Frage stehenden neuen Art. 4 Abs. 1bis Bst. a und b DZV eingefügt hat, liegen nicht vor, da es sich lediglich um die Änderung einer Verordnung handelt. Die Annahme ist indessen naheliegend, dass der Verordnungsgeber mit diesen Bestimmungen sicherstellen wollte, dass nicht etwa der Anbau von Pflanzen für den illegalen Betäubungsmittelkonsum durch Direktzahlungen subventioniert wird. Nach der bundesgerichtlichen Rechtsprechung (vgl. BGE 126 IV 198 E. 1) gilt ein Gehalt an Tetrahydrocannabinol (THC) von 0.3 % als Grenzwert, der nicht überschritten werden darf, damit der betreffende Hanf nicht als Betäubungsmittel gelten muss und unter das grundsätzliche Anbauverbot von Art. 8 Abs. 1 Bst. d des Bundesgesetzes vom 3. Oktober 1951 über die Betäubungsmittel und die psychotropen Stoffe fällt (Betäubungsmittelgesetz, BetmG, SR 812.121). Die in der Verordnungsänderung eingeführte Zulassung nur bestimmter, zertifizierter Sorten und die Nachweispflicht des Bewirtschafters oder der Bewirtschafterin dient diesbezüglich offensichtlich der Vereinfachung des Vollzugs und der Kontrollen, denn alle im Sortenkatalog aufgeführten Hanfsorten weisen einen THC-Gehalt von weniger als 0.3 % auf. Eine Sorte namens "Bauernhanf" oder "cannabis sativa non indica" war auch vor der Verordnungsänderung nicht in diesem Sortenkatalog enthalten. Ob der THC-Gehalt dieser Sorte im legalen Bereich war, führte in diversen Fällen zu Meinungsverschiedenheiten zwischen den Bewirtschaftern und den zuständigen Behörden. So legte die Erstinstanz an der Verhandlung im vorinstanzlichen Verfahren dar, der durch die Vollzugsbehörden gemessene THC-Gehalt des "Bauernhanfs" habe den massgeblichen Grenzwert in diversen Fällen um ein Mehrfaches überstiegen. Die Einführung von Art. 4 Abs. 1bis Bst. a und b DZV diente somit dazu, zu verhindern, dass der Anbau von Cannabis für den illegalen Betäubungsmittelkonsum durch allgemeine Direktzahlungen subventioniert wird, und den Vollzug dieses Anliegens zu erleichtern. Damit hat der Bundesrat die ihm durch das Landwirtschaftsgesetz eingeräumten Befugnisse offensichtlich nicht überschritten.</w:t>
      </w:r>
    </w:p>
    <w:p>
      <w:r>
        <w:rPr>
          <w:b/>
        </w:rPr>
        <w:t>E. 2.3.3</w:t>
      </w:r>
    </w:p>
    <w:p>
      <w:r>
        <w:t>Über die Beweggründe des Normsetzers ist kein Beweisverfahren zu führen. Auch trifft den Bundesrat in seiner rechtsetzenden Funktion als Verordnungsgeber keine aus dem Anspruch auf rechtliches Gehör abgeleitete Begründungspflicht. Vielmehr obliegt es dem Rechtsuchenden, in einer den Begründungsanforderungen entsprechenden Weise darzulegen, inwieweit eine Verordnungsbestimmung sich nicht auf ernsthafte sachliche Gründe stützen lässt oder sinn- und zwecklos ist und damit als willkürlich erscheint (Urteil des Bundesgerichts vom 23. November 2009 2C_663/2008 E. 4.2). Im vorliegenden Fall behauptet der Beschwerdeführer zwar, die von ihm angebaute Sorte "Bauernhanf" bzw. "cannabis sativa non indica" sei gleichwertig mit den ausländischen Sorten, die im Sortenkatalog aufgeführt seien. Er legt indessen keinerlei Belege vor, welche nachweisen würden, dass die von ihm angebaute Sorte ebenfalls einen THC-Gehalt von weniger als 0,3 % aufweisen würde oder dass dieser vom Bundesamt im Sortenkatalog festgelegte Grenzwert unzweckmässig wäre.</w:t>
      </w:r>
    </w:p>
    <w:p>
      <w:r>
        <w:rPr>
          <w:b/>
        </w:rPr>
        <w:t>E. 2.3.4</w:t>
      </w:r>
    </w:p>
    <w:p>
      <w:r>
        <w:t>Die Rüge des Beschwerdeführers, die Änderung der Direktzahlungsverordnung vom 14. November 2007 habe zu einer rechtsungleichen Behandlung von zwei gleichen, legalen Hanfsorten geführt und verstosse damit gegen das Rechtsgleichheitsgebot und das Willkürverbot, erweist sich somit als unbegründet.</w:t>
      </w:r>
    </w:p>
    <w:p>
      <w:r>
        <w:rPr>
          <w:b/>
        </w:rPr>
        <w:t>E. 3</w:t>
      </w:r>
    </w:p>
    <w:p>
      <w:r>
        <w:t>Der Beschwerdeführer vertritt alsdann die Ansicht, dass ein auf Verordnungsebene verankertes und somit zur Gewohnheit gewordenes Recht auf Direktzahlungen nicht grundlos gestrichen werden dürfe.</w:t>
      </w:r>
    </w:p>
    <w:p>
      <w:r>
        <w:rPr>
          <w:b/>
        </w:rPr>
        <w:t>E. 3.1</w:t>
      </w:r>
    </w:p>
    <w:p>
      <w:r>
        <w:t>Demgegenüber hebt die Vorinstanz zu Recht hervor, dass die Rechtsadressaten nicht auf den Fortbestand von Rechtssetzungsakten oder eines geltenden Gesetzes vertrauen dürfen, sondern mit dessen Revision rechnen müssen (vgl. BGE 130 I 26 E. 8; 117 Ia 285 E. 2; Ulrich Häfelin, Georg Müller, Felix Uhlmann, Allgemeines Verwaltungsrecht, 5. Aufl., Zürich/St.Gallen, 2006, Rz. 641 ff.). Der Gesetzgeber darf Rechtsetzungsakte und Gesetze im Rahmen des Rechtssetzungsverfahrens jederzeit ändern. Direktzahlungen stellen landwirtschaftspolitische Lenkungsmassnahmen dar, deren konkrete Ausgestaltung dem Gesetzgeber überlassen ist. Sie unterliegen somit den Veränderungen der Gesetzgebung (Urteil des Bundesgerichts vom 3. Dezember 2002 2A.346/2002 E. 2.5.3). Im Landwirtschaftsrecht überliess der Gesetzgeber dem Bundesrat zudem einen grossen Spielraum. Gemäss Art. 70 Abs. 6 LwG darf der Bundesrat die Direktzahlungen unter Berücksichtigung der Produktionserschwernisse abstufen (Bst. a.) und die Ausrichtung der Beiträge mit Auflagen verknüpfen (Bst. c.). Damit wurde eine Grundlage geschaffen, um auf Verordnungsstufe jederzeit Anpassungen vorzunehmen.</w:t>
      </w:r>
    </w:p>
    <w:p>
      <w:r>
        <w:rPr>
          <w:b/>
        </w:rPr>
        <w:t>E. 3.2</w:t>
      </w:r>
    </w:p>
    <w:p>
      <w:r>
        <w:t>Da grundsätzlich diejenigen Rechtssätze Anwendung finden, die bei Erfüllung eines rechtlich zu ordnenden oder zu Rechtsfolgen führenden Tatbestands Geltung hatten (BGE 122 V 85 E. 3; 112 Ib 39 E. 1c), ist vorliegend die für das Jahr 2008 geltende Rechtslage massgebend. Dementsprechend können für Flächen mit Hanf nur dann Direktzahlungen geleistet werden, wenn die Voraussetzungen von Art. 4 Abs. 1bis DZV erfüllt sind, was vorliegend nicht zutrifft (vgl. Erw. 2.1.). Insofern kann sich der Beschwerdeführer nicht auf den Fortbestand einer nicht mehr gültigen Vorschrift berufen, um ein Recht auf eine Direktzahlung zu begründen.</w:t>
      </w:r>
    </w:p>
    <w:p>
      <w:r>
        <w:rPr>
          <w:b/>
        </w:rPr>
        <w:t>E. 3.3</w:t>
      </w:r>
    </w:p>
    <w:p>
      <w:r>
        <w:t>Ob der Anbau von "Bauernhanf" durch den Beschwerdeführer in früheren Jahren legal war bzw. zu Flächenbeiträgen berechtigte, kann in diesem Verfahren offen gelassen werden, denn ein "Gewohnheitsrecht", das der in Frage stehenden Verordnungsänderung entgegen stehen würde, existiert jedenfalls nicht.</w:t>
      </w:r>
    </w:p>
    <w:p>
      <w:r>
        <w:rPr>
          <w:b/>
        </w:rPr>
        <w:t>E. 4</w:t>
      </w:r>
    </w:p>
    <w:p>
      <w:r>
        <w:t>Die Vorinstanz hat die Beschwerde auch deshalb abgewiesen, weil der Beschwerdeführer den von ihm angebauten Hanf an Nutztiere verfüttert hat. Der Beschwerdeführer bestreitet nicht, dass er den von ihm angebauten Hanf an seine Milchkühe verfüttert hat. Er macht indessen auch bezüglich Art. 4 Abs. 1bis Bst. c DZV geltend, diese Verordnungsbestimmung sei rechtswidrig, da die Verfütterung von Hanf an Nutztiere legal sei.</w:t>
      </w:r>
    </w:p>
    <w:p>
      <w:r>
        <w:rPr>
          <w:b/>
        </w:rPr>
        <w:t>E. 4.1</w:t>
      </w:r>
    </w:p>
    <w:p>
      <w:r>
        <w:t>Die Vorinstanz weist im angefochtenen Urteil zutreffend darauf hin, dass die Ausrichtung von Direktzahlungen davon abhängig ist, dass die in Art. 4 Abs. 1bis Bst. a.-c. DZV genannten Voraussetzungen kumulativ erfüllt sind. Nachdem die Voraussetzungen von Art. 4 Abs. 1bis Bst. a und b DZV nicht erfüllt sind, ist daher auf diese Rüge des Beschwerdeführers nur noch ergänzend einzugehen.</w:t>
      </w:r>
    </w:p>
    <w:p>
      <w:r>
        <w:rPr>
          <w:b/>
        </w:rPr>
        <w:t>E. 4.2</w:t>
      </w:r>
    </w:p>
    <w:p>
      <w:r>
        <w:t>In seiner jüngsten Rechtsprechung hat sich das Bundesgericht mit der Frage der gesetzlichen Grundlage für das Verbot der Verfütterung von Hanf an Nutztiere eingehend und überzeugend auseinandergesetzt (vgl. Urteile des Bundesgerichts vom 16. Juli 2010 6B_382/2010, 6B_20/2010, 6B_441/2010, 6B_383/2010). Es kommt zum Schluss, dass es ein uneingeschränktes Verbot der Verfütterung von Hanf an Nutztiere gebe, und zwar sowohl in Bezug auf zugekauften wie auch auf selbst produzierten Hanf (vgl. Urteil des Bundesgerichts vom 16. Juli 2010 6B_382/2010 E. 1.6). Dieses Verbot stütze sich auf Art. 23a Abs. 1 und 23b Abs. 3 Bst. a der Verordnung über die Produktion und das Inverkehrbringen von Futtermitteln vom 26. Mai 1999 (Futtermittel-Verordnung, SR 916.307) i.V.m. Teil 2 Bst. l des Anhangs 4 zur Verordnung des EVD über die Produktion und das Inverkehrbringen von Futtermitteln, Zusatzstoffen für die Tierernährung, Silierungszusätzen und Diätfuttermitteln vom 10. Juni 1999 (Futtermittelbuch-Verordnung, FMBV, SR 916.307.1).</w:t>
      </w:r>
    </w:p>
    <w:p>
      <w:r>
        <w:rPr>
          <w:b/>
        </w:rPr>
        <w:t>E. 4.3</w:t>
      </w:r>
    </w:p>
    <w:p>
      <w:r>
        <w:t>Der Auffassung des Beschwerdeführers, Art. 4 Abs. 1bis Bst. c DZV sei rechtswidrig, da die Verfütterung von Hanf an Nutztiere legal sei, kann daher nicht gefolgt werden.</w:t>
      </w:r>
    </w:p>
    <w:p>
      <w:r>
        <w:rPr>
          <w:b/>
        </w:rPr>
        <w:t>E. 5</w:t>
      </w:r>
    </w:p>
    <w:p>
      <w:r>
        <w:t>Die Beschwerde erweist sich somit als unbegründet und ist abzuweisen.</w:t>
      </w:r>
    </w:p>
    <w:p>
      <w:r>
        <w:rPr>
          <w:b/>
        </w:rPr>
        <w:t>E. 6</w:t>
      </w:r>
    </w:p>
    <w:p>
      <w:r>
        <w:t>Bei diesem Ausgang des Verfahrens hat der Beschwerdeführer die Verfahrenskosten von CHF 800.- zu tragen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