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B-685/2016 vom 11. Juni 2018</w:t>
      </w:r>
    </w:p>
    <w:p>
      <w:r>
        <w:t>Bundesverwaltungsgericht, 2018-06-11, DE</w:t>
      </w:r>
    </w:p>
    <w:p>
      <w:r>
        <w:rPr>
          <w:b/>
        </w:rPr>
        <w:t xml:space="preserve">Quelle: </w:t>
      </w:r>
      <w:r>
        <w:t>https://mcp.opencaselaw.ch/entscheid/bvger_B-685_2016</w:t>
      </w:r>
    </w:p>
    <w:p>
      <w:r>
        <w:t>FR: TAF B-685/2016 du 11 juin 2018</w:t>
      </w:r>
    </w:p>
    <w:p>
      <w:r>
        <w:t>IT: TAF B-685/2016 del 11 giugno 2018</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einzutreten.</w:t>
      </w:r>
    </w:p>
    <w:p>
      <w:r>
        <w:rPr>
          <w:b/>
        </w:rPr>
        <w:t>E. 2.1</w:t>
      </w:r>
    </w:p>
    <w:p>
      <w:r>
        <w:t>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Der Tatbestand ist erfüllt, wenn eine Person durch ihr individuelles Fehlverhalten kausal und schuldhaft eine schwere Verletzung aufsichtsrechtlicher Bestimmungen bei einer Beaufsichtigten bewirkt hat (BGE 142 II 243 E. 2.2 f.).</w:t>
      </w:r>
    </w:p>
    <w:p>
      <w:r>
        <w:rPr>
          <w:b/>
        </w:rPr>
        <w:t>E. 2.2</w:t>
      </w:r>
    </w:p>
    <w:p>
      <w:r>
        <w:t>Die Vorinstanz hat in der angefochtenen Verfügung zusammengefasst erwogen, mit Verfügung gegen die Bank sei festgestellt worden, dass verschiedene Händler wiederholt und über einen längeren Zeitraum hinweg zumindest versucht hätten, Devisenreferenzwerte zu manipulieren. Zudem hätten Devisenspothändler der Bank wiederholt gegen die Interessen ihrer Kunden gehandelt. Sie hätten deren Stop-Loss-Aufträge ausgelöst, vor Kundenaufträgen Geschäfte für die Bank getätigt (Front Running), in Chats vertrauliche Kundeninformationen offengelegt und treuwidriges Verhalten Dritter in Kauf genommen. Dadurch habe die Bank aufsichtsrechtliche Bestimmungen schwer verletzt. Der Beschwerdeführer, der als Händler tätig gewesen sei, sei wegen wiederholter und regelmässiger Handlungen dieser Art nach Art. 33 FINMAG für die schwere Verletzung des Gewährserfordernisses (Art. 3 Abs. 2 Bst. c sowie Art. 3f des Bankengesetzes vom 8. November 1934 [BankG, SR 952.0]) durch die Bank verantwortlich.</w:t>
      </w:r>
    </w:p>
    <w:p>
      <w:r>
        <w:rPr>
          <w:b/>
        </w:rPr>
        <w:t>E. 2.3</w:t>
      </w:r>
    </w:p>
    <w:p>
      <w:r>
        <w:t>Der Beschwerdeführer bringt vor, die angefochtene Verfügung sei unter Verletzung von bundes- bzw. völkerrechtlichen Bestimmungen zustande gekommen und basiere auf einem unrichtig und unvollständig ermittelten Sachverhalt. Insbesondere entlastendes Beweismaterial sei nicht berücksichtigt und zu einzelnen Sachverhaltselementen seien gar keine Beweise erhoben worden. Er sei als einfacher Devisenhändler ohne besondere Verantwortung tätig gewesen. Die Vorinstanz werfe ihm pauschal vor, durch manipulatives, missbräuchliches und treuwidriges Verhalten am Verstoss der Bank gegen die Praxis der Aufsichtsbehörde, den Grundsatz von Treu und Glauben, das Gebot redlichen Handelns sowie bankinterne Richtlinien massgeblich mitgewirkt zu haben und insofern für deren Aufsichtsrechtsverletzung verantwortlich zu sein. Sie lege aber im Einzelnen nicht dar, welche Verhaltensweisen gegen welche interne Richtlinien bzw. welche Aktivität gegen welche Praxis der Aufsichtsbehörde verstossen hätten. Die Vorinstanz stütze ihren Entscheid wesentlich auf Aussagen von Drittpersonen, nachdem sie eingeräumt habe, dass die von der Untersuchungsbeauftragten durchgeführte Handelsdatenanalyse und die darauf beruhenden Schlussfolgerungen einen geringen Beweiswert hätten. Er kritisiert ferner die Methode der genannten Handelsdatenanalyse sowie den Beizug von unbekannten Dritten für deren Durchführung. Das Verhältnismässigkeitsprinzip sei verletzt. Der Beschwerdeführer macht im Einzelnen geltend, es bestehe keine gesetzliche Grundlage für eine Interventions- und Verfügungsbefugnis und für die Auferlegung eines Berufsverbots ihm gegenüber (nachfolgend E. 3). Er rügt, die Verfügung sei unter Verletzung der Garantien eines rechtsstaatlichen Verfahrens zustande gekommen; verletzt seien das Recht auf ein faires Verfahren, strafprozessuale Mindestgarantien, der Anklagegrundsatz, das Konfrontations- und Fragerecht, der nemo tenetur-Grundsatz sowie die Unschuldsvermutung, da das Enforcementverfahren als strafrechtliche Anklage zu qualifizieren sei (nachfolgend E. 4). Er wirft der Vorinstanz insbesondere eine Gehörsverletzung sowie sinngemäss eine Missachtung der persönlichen und sachlichen Grenzen der Rechtskraft vor, da die gegenüber der Bank getroffenen Feststellungen im Verfahren gegen ihn unbesehen übernommen worden seien (nachfolgend E. 5). Schliesslich beanstandet er verschiedene Verfahrensrechtsverletzungen (nachfolgend E. 6-E. 10).</w:t>
      </w:r>
    </w:p>
    <w:p>
      <w:r>
        <w:rPr>
          <w:b/>
        </w:rPr>
        <w:t>E. 3.1</w:t>
      </w:r>
    </w:p>
    <w:p>
      <w:r>
        <w:t>Gemäss Art. 5 Abs. 1 der Bundesverfassung der Schweizerischen Eidgenossenschaft vom 18. April 1999 (BV, SR 101) ist das Recht Grundlage und Schranke staatlichen Handelns. Die Anforderungen an die Grundlage für einen Grundrechtseingriff ergeben sich aus Art. 36 BV. Einschränkungen von Grundrechten bedürfen einer gesetzlichen Grundlage. Schwerwiegende Einschränkungen müssen im Gesetz selbst vorgesehen sein. Ausgenommen sind Fälle ernster, unmittelbarer und nicht anders abwendbarer Gefahr (Art. 36 Abs. 1 BV).</w:t>
      </w:r>
    </w:p>
    <w:p>
      <w:r>
        <w:rPr>
          <w:b/>
        </w:rPr>
        <w:t>E. 3.2</w:t>
      </w:r>
    </w:p>
    <w:p>
      <w:r>
        <w:t>Das FINMAG ist ein Gesetz im formellen Sinn, das die Organisation und die Instrumente der FINMA über den Finanzmarkt nach den Finanzmarktgesetzen regelt (Art. 1 FINMAG). Die FINMA übt die Aufsicht nach den Finanzmarktgesetzen und nach dem FINMAG aus und ist für deren Vollzug zuständig (Art. 6 Abs. 1 i.V.m. Art. 1 Abs. 1 und Art. 56 FINMAG; vgl. Urteil des BVGer B-19/2013 vom 27. November 2013, nicht publizierte E. 4.2 von BVGE 2013/59; Peter Nobel, Sanktionen gemäss FINMAG, in: GesKR 2009, S. 59). Die Bank untersteht als Bewilligungsinhaberin der Aufsicht der FINMA (Art. 3 Bst. a FINMAG i.V.m. Art. 3 Abs. 1 BankG). Die Bewilligungsvoraussetzungen, u.a. das Gewährs- und Organisationserfordernis, sind dauernd einzuhalten; die Aufsicht der FINMA ist als laufende Aufsicht ausgestaltet. Zwar trifft es zu, wie der Beschwerdeführer vorbringt, dass der Devisenhandel im Untersuchungszeitraum nicht spezifisch behördlich reguliert war (angefochtene Verfügung, Rz. 15). Das Enforcementverfahren erfolgte jedoch nach Massgabe des BankG (vorliegend Art. 1 Abs. 1 Bst. d FINMAG i.V.m. Art. 3 Abs. 2 Bst. a und c [Organisations- und Gewährserfordernis] sowie Art. 3f Abs. 1 und 2 BankG [Gewährs- und Organisationserfordernis]). Adressat der verletzten aufsichtsrechtlichen Bestimmungen ist das beaufsichtigte Institut (vgl. Peter Ch. Hsu/Rashid Bahar/Daniel Flühmann, in: Rolf Watter/Nedim Peter Vogt [Hrsg.], Basler Kommentar Finanzmarktaufsichtsgesetz [nachfolgend: BSK FINMAG], 2. Aufl., Basel 2011, Art. 33 N 12). Das Berufsverbot durchbricht das System der Institutsaufsicht, ohne den bei der Beaufsichtigten tätigen Personen neue Pflichten zu statuieren (BGE 142 II 243 E. 2.2 f.). Die Rüge des Beschwerdeführers, der Devisenhandel falle nicht in den Anwendungsbereich der Finanzmarktgesetze, geht an der Sache vorbei.</w:t>
      </w:r>
    </w:p>
    <w:p>
      <w:r>
        <w:rPr>
          <w:b/>
        </w:rPr>
        <w:t>E. 3.3</w:t>
      </w:r>
    </w:p>
    <w:p>
      <w:r>
        <w:t>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Melanie Gottini/Hans Caspar von der Crone, Berufsverbot nach Art. 33 FINMAG, in: SZW 2016, S. 640 ff., 644), wobei das finanzmarktrechtliche Berufsverbot auch nach beendetem Arbeitsverhältnis zu einen beaufsichtigten Institut ausgesprochen werden kann (vgl. BGE 142 II 243 E. 2.2). Die Bestimmtheit in sachlicher Hinsicht ergibt sich aus den Finanzmarktgesetzen (vorliegend Art. 1 Abs. 1 Bst. d FINMAG i.V.m. Art. 3 Abs. 2 Bst. a und c [Organisations- und Gewährserfordernis] sowie Art. 3f Abs. 1 und 2 BankG [Gewährs- und Organisationserfordernis]). Die Bestimmtheit hinsichtlich der Rechtsfolge des Berufsverbots ergibt sich einerseits aus der organisatorischen Unterstellung bei einem beaufsichtigten Institut (Tätigkeit in leitender Stellung: Gewährsperson und Funktion unterhalb der Gewährsschwelle, wenn die Person "wesentliche Verantwortung" trägt, vgl. Hsu/Bahar/Flühmann, BSK FINMAG, Art. 33 N 20) und andererseits aus dem angegebenen Zeitrahmen. Zwar ist die Vorsehbarkeit etwas herabgesetzt dadurch, dass die "schwere Verletzung" einen unbestimmten Rechtsbegriff darstellt (vgl. dazu Urteil des BVGer B-5772/2015 vom 20. September 2017 E. 2.4 m.H.); der Rechtsbegriff erlaubt aber die Berücksichtigung aller Umstände im Einzelfall (vgl. Hsu/Bahar/Flühmann, in: BSK FINMAG, Art. 33 N 11). Den Anforderungen der Verfassung an die gesetzliche Grundlage (für schwere Eingriff in die Wirtschaftsfreiheit) ist damit Genüge getan (vgl. Hsu/Bahar/Flühmann, in: BSK FINMAG, Art. 33 N 11 m.H., welche die Frage offen lassen); die Anforderungen der Konvention zum Schutze der Menschenrechte und Grundfreiheiten vom 4. November 1950 (EMRK, SR 0.101) sind nicht weiter zu prüfen, da das Berufsverbot als wirtschaftspolizeirechtlich motivierte Einschränkung gilt (BGE 142 II 243 E. 3.4). Die Rüge, dem Bestimmtheitsgebot sei nicht Genüge getan, geht fehl.</w:t>
      </w:r>
    </w:p>
    <w:p>
      <w:r>
        <w:rPr>
          <w:b/>
        </w:rPr>
        <w:t>E. 3.4</w:t>
      </w:r>
    </w:p>
    <w:p>
      <w:r>
        <w:t>Der persönliche Anwendungsbereich von Art. 33 FINMAG erstreckt sich auf Personen, die im Aufsichtsbereich der FINMA tätig sind, wobei das finanzmarktrechtliche Berufsverbot auch nach beendetem Arbeitsverhältnis zu einen beaufsichtigten Institut verfügt werden kann (vgl. BGE 142 II 243 E. 2.2 in fine). Berufsverbote können - entgegen der Ansicht des Beschwerdeführers - nach dem klaren Wortlaut der Bestimmung auch gegen Personen unterhalb der Gewährsschwelle ausgesprochen werden (vgl. Botschaft zum Bundesgesetz über die Eidgenössische Finanzmarktaufsicht [Finanzmarktaufsichtsgesetz, FINMAG] vom 1. Februar 2006, BBl 2006 2849, 2881 f.; Melanie Gottini/Hans Caspar von der Crone, Berufsverbot nach Art. 33 FINMAG, in: SZW 2016, S. 640 ff., 644; Damian K. Graf, Berufsverbote für Gesellschaftsorgane: das Sanktionsregime im Straf- und Finanzmarktrecht, in: AJP 2014/9, S. 1202; Hsu/Bahar/Flühmann, in: BSK FINMAG, Art. 33 N 7, N 12 f.; Christoph Kuhn, Das Berufsverbot nach Art. 33 FINMAG, Zürich/Basel/Genf 2014, S. 23 ff. unter Darlegung der Entstehungsgeschichte von Art. 33; Urs Zulauf/David Wyss/Kathrin Tanner/Michel Kähr/Claudia M. Fritsche/Patric Eymann/Fritz Ammann, Finanzmarktenforcement, 2. Aufl., Bern 2014, S. 230; anders jedoch Felix Uhlmann, Das Berufsverbot nach Art. 33 FINMAG, in: SZW 2011, S. 439, nach welchem die betreffende Person bereits eine leitende Stellung innehaben musste oder an der Schwelle zur Übernahme einer solchen Funktion stand). Da Art. 33 FINMAG auf einer Zurechnungsnorm beruht, ist unerheblich, dass das Gewährs- und Organisationserfordernis die Bank und nicht die natürliche Person trifft (zur Ausgestaltung der Enforcementverfahren vgl. E. 5.1). Ebenfalls unerheblich ist auf der Tatbestandsseite die Frage der Gewährsposition; für die Abklärung der Verantwortlichkeit ist nicht massgebend, ob die fragliche Person selber Gewähr bieten muss, sondern ob sie durch ihr individuelles Fehlverhalten kausal und schuldhaft eine schwere Verletzung aufsichtsrechtlicher Bestimmungen bei einer Beaufsichtigten bewirkt hat (BGE 142 II 243 E. 2.2 f.). Die Rüge, die Auferlegung eines Berufsverbots gegen den Beschwerdeführer verletze den Grundsatz der Gesetzmässigkeit, ist unbegründet.</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 Seiten der Behörden. Der Anspruch auf rechtliches Gehör ist Teilgehalt des allgemeinen Grundsatzes des fairen Verfahrens (BGE 140 I 99 E. 3.4; 134 I 140 E. 5.2; Bernhard Waldmann, in: Bernhard Waldmann/Eva Maria Belser/Astrid Epiney [Hrsg.], Basler Kommentar Bundesverfassung [nachfolgend: BSK BV], Basel 2015, Art. 29 N 40). Der Beschwerdeführer ruft Art. 29 Abs. 1 BV (Fairnessgebot) an, macht aber eine Verletzung des rechtlichen Gehörs geltend. Die Vorbringen sind unter dem Gesichtspunkt einer möglichen Gehörsverletzung zu prüfen (E. 5).</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i.S.v. Art. 6 Ziff. 1 EMRK dar, sondern ist hinsichtlich seiner Art und Schwere eine wirtschaftspolizeirechtlich motivierte und zeitlich limitierte Einschränkung der Wirtschaftsfreiheit (BGE 142 II 243 E. 3.2-3.4). Der Beschwerdeführer beruft sich vergeblich auf Art. 6 EMRK. Das diesbezüglich vom Beschwerdeführer eingereichte Parteigutachten gibt keinen Anlass, diese Rechtsprechung in Zweifel zu ziehen.</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Bernhard Ehrenzeller/Rainer J. Schweizer/Benjamin Schindler/Klaus A. Vallender [Hrsg.], Die schweizerische Bundesverfassung, St. Galler Kommentar [nachfolgend: SKBV], 3. Aufl., St. Gallen/Zürich 2014, Art. 29 N 20). Das Verfahren vor der FINMA richtet sich nach den Bestimmungen des VwVG (Art. 53 FINMAG). Das Enforcementverfahren stellt ein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"Verfahren als Ganzes den gesetzlichen und verfassungsmässigen Garantien zu genügen habe" (BGE 130 II 351 E. 3.3.2). Der Beschwerdeführer verkennt den Anwendungsbereich der Verfahrensordnung, soweit er sich auf die Untersuchung der Beauftragten oder die rein bankinterne Ermittlung bezieht. Die Verfahrensordnung des VwVG findet hier keine Anwendung (vgl. BGE 130 II 351 E. 3.3.2).</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einer Verletzung von Aufsichtsrecht besteht. Beziehen sich mehrere Einzelverfahren auf denselben Sachverhalt, sind die Vorteile von mehreren selbständigen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Organen der Beaufsichtigten zuzurechnen sind, weshalb die Partei nur als Auskunftsperson befragt werden kann (vgl. Philippe Weissenberger/Astrid Hirzel, in: Bernhard Waldmann/Philippe Weissenberger [Hrsg.], Praxiskommentar Verwaltungsverfahrensgesetz, 2. Aufl., Zürich/Basel/Genf 2016 [nachfolgend: Praxiskommentar VwVG], Art. 14 N 7).</w:t>
      </w:r>
    </w:p>
    <w:p>
      <w:r>
        <w:rPr>
          <w:b/>
        </w:rPr>
        <w:t>E. 5.1.2</w:t>
      </w:r>
    </w:p>
    <w:p>
      <w:r>
        <w:t>Zweitens ist ein einheitliches Verfahren mit verschiedenen Parteien möglich. Mehrparteien-Verfahren sind Verfahren mit mehreren Parteien (Partei-Mehrheit), aber einheitlichen Verfahrensabwicklung und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Zulauf/Wyss et. Al., a.a.O.,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Zulauf/Wyss et. Al., a.a.O., S. 104). Bei komplexen Sachverhalten ist ein solches Verfahren aber praktisch nicht mehr durchführbar (vgl. Christoph Kuhn, Das Berufsverbot nach Art. 33 FINMAG, Zürich/Basel/Genf 2014,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bezieht sich in der angefochtenen Verfügung mehrfach auf die Verfügung gegen die Bank und stellt fest, dass diese in Rechtskraft erwachsen sei. Sie nimmt auf die rechtskräftige Verfügung nicht nur unter der Verfahrensgeschichte und dem Sachverhalt Bezug (angefochtene Verfügung, Rz. 4, 24 f., 61), sondern auch in den Erwägungen. Die Bezugnahme erfolgt sowohl bei den Erwägungen zu den Beweismitteln unter dem Titel "Verfahren und Verfügung gegen die [Bank]" (angefochtene Verfügung, Rz. 69 f.) als auch im Rahmen der rechtlichen Begründung des Berufsverbots (angefochtene Verfügung, Rz. 82, 89 f., 93 f., 101). Bei der Prüfung der individuellen Verantwortlichkeit des Beschwerdeführers und bei der Begründung der ausgesprochenen Massnahme wiederholt die Vor-instanz ausdrücklich, dass die schwere Verletzung aufsichtsrechtlicher Bestimmungen bereits rechtskräftig festgestellt sei. Es bestehe kein Grund, auf diese Feststellung zurückzukommen, und es sei nicht mehr vorfrageweise zu überprüfen, ob das Institut aufsichtsrechtliche Bestimmungen schwer verletzt habe (angefochtene Verfügung, Rz. 93, 118; vgl. dazu E. 5.5). Diese Ausführungen lassen einzig den Schluss zu, dass die Vorinstanz der Verfügung gegen den Beschwerdeführer eine Rechtskrafterstreckung zugrunde legt, was unzulässig ist. Sie hat die beschränkte Bindungswirkung des Entscheids gegen die Bank missachtet. Dies führt zur Einschränkung der Mitwirkungsrechte der Partei, sich mit Sachvorbringen und Beweisanträgen in das Verfahren einzubringen, beschränkt das Beweisthema und stellt eine Verletzung des verfassungsrechtlich und gesetzlich garantieren Gehörsanspruchs dar (vgl. E. 4.1).</w:t>
      </w:r>
    </w:p>
    <w:p>
      <w:r>
        <w:rPr>
          <w:b/>
        </w:rPr>
        <w:t>E. 5.4</w:t>
      </w:r>
    </w:p>
    <w:p>
      <w:r>
        <w:t>Die Vorinstanz vertritt weiter die Auffassung, die Verfügung gegen die Bank sei selbst dann ein zulässiges Beweismittel, wenn die schwere Verletzung aufsichtsrechtlicher Bestimmungen durch die Bank dem Beschwerdeführer nicht direkt entgegengehalten werden könnte (angefochtene Verfügung, Rz. 70). Der Beschwerdeführer wendet ein, die Verfügung gegen die Bank sei kein zulässiges Beweismittel. Nach Auffassung der Vorinstanz sei sie integrierender Bestandteil der angefochtenen Verfügung, obwohl er im Verfahren gegen die Bank nicht Partei gewesen sei und sich daran nicht habe beteiligen können. Die Bindung an eine rechtskräftige Verfügung erstrecke sich grundsätzlich nur auf die Parteien des betreffenden Verfahrens, weshalb die Feststellungen gegenüber der Bank ihm nicht entgegengehalten werden könnten. Der selektive Beizug von Akten aus dem Verfahren gegen die Bank und die Gewährung des rechtlichen Gehörs ändere nichts daran, zumal dies erst zu einem Zeitpunkt erfolgt sei, nachdem die Vorinstanz sich längst eine Meinung gebildet habe. Die unbesehene Übernahme der im Verfahren gegen die Bank getroffenen Feststellungen führe dazu, dass die belastenden Aussagen von Dritten und des Beschwerdeführers im Verfahren gegen ihn indirekt berücksichtigt würden. Der Untersuchungsgrundsatz nach Art. 12 VwVG besagt, dass die Behörde den Sachverhalt von Amtes wegen feststellt und sich nötigenfalls folgender Beweismittel bedient: Urkunden (Bst. a), Auskünfte der Parteien (Bst. b), Auskünfte oder Zeugnis von Drittpersonen (Bst. c), Augenschein (Bst. d), Gutachten von Sachverständigen (Bst. e). Eine Urkunde i.S.v. Art. 12 Bst. a VwVG ist eine Aufzeichnung, die bestimmt und geeignet ist, eine Tatsache von rechtlicher Bedeutung zu beweisen (vgl. zum Begriff Waldmann, in: Praxiskommentar, Art. 19 N 37). Eine Verfügung i.S.v. Art. 5 Abs. 1 VwVG stellt eine einseitige Anordnung einer Behörde dar, die im Einzelfall ein Rechtsverhältnis in verbindlicher und erzwingbarer Weise gestützt auf öffentliches Recht des Bundes regelt (BGE 135 II 38 E. 4.3). Die Regelung des Rechtsverhältnisses beruht auf einem im jeweiligen Verfahren erstellten Sachverhalt. Das erstinstanzliche Verwaltungsverfahren wird vom Untersuchungsgrundsatz beherrscht. Das ändert nichts daran, dass eine Verwaltungsverfügung nicht geeignet ist,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w:t>
      </w:r>
    </w:p>
    <w:p>
      <w:r>
        <w:rPr>
          <w:b/>
        </w:rPr>
        <w:t>E. 5.5</w:t>
      </w:r>
    </w:p>
    <w:p>
      <w:r>
        <w:t>Die Vorinstanz stellt sich sodann auf den Standpunkt, die Verletzung aufsichtsrechtlicher Bestimmungen sei im vorliegenden Verfahren nicht nochmals (vorfrageweise) zu prüfen. Sie könne von der rechtskräftigen Feststellung ausgehen und die entsprechende Verfügung als Grundlage heranziehen (angefochtene Verfügung, Rz. 69, 93). Es bestünden keine Anhaltspunkte - weder aufgrund von Einzelverfahren zum Devisenhandel noch aufgrund einer erneuten Würdigung von Beweismittel und Fakten - an der Feststellung gegen die Bank oder der detaillierten Begründung in der Verfügung zu zweifeln oder diese erneut in Erwägung zu ziehen. Sie habe sich mit den vom Beschwerdeführer vorgebrachen Bedenken und Argumenten inhaltlich bereits im Verfahren und in der Verfügung gegen die Bank auseinandergesetzt. In diesem Sinn werde auf die Verfügung gegen die Bank verwiesen sowie auf die darin enthaltene Begründung und die der Verfügung zugrundeliegenden "und teilweise darin referenzierten Akten" (angefochtene Verfügung, Rz. 90). Die schwere Verletzung von Aufsichtsrecht durch die Bank werde vom Beschwerdeführer auch nicht explizit bestritten; er mache vielmehr sinngemäss geltend, dass ihm keine entsprechenden Verhaltensweisen vorzuwerfen seien. Darüber hinaus bringt sie in ihrer Vernehmlassung vor, sie habe sich mit den wesentlichen Rügen und Vorbringen des Beschwerdeführers bereits im Rahmen des Erlasses der angefochtenen Verfügung auseinandergesetzt, diese gewürdigt und berücksichtigt. Der Beschwerdeführer wendet dagegen ein, die Vorinstanz habe - entgegen ihrer Darstellung - die Fakten und Beweismittel keiner erneuten Würdigung unterzogen.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bzw. Aufsichtsrechtsverletzung der Beaufsichtigten - vorliegend der Bank - beurteilt werden. Die Pflicht, deren schwere Verletzung die Auferlegung eines Berufsverbots für eine natürliche Person rechtfertigt, trifft die Beaufsichtigte und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(Uhlmann/Schilling-Schwank, in: Praxiskommentar VwVG, Art. 35 N 10 mit zahlreichen Hinweisen auf die Rechtsprechung). Die angefochtene Verfügung enthält zwar allgemeine Ausführungen zu den aufsichtsrechtlichen Bestimmungen (Rz. 83-90) und Ausführungen, wonach das Verfahren gegen die Bank ergeben habe, dass aufsichtsrechtliche Bestimmungen verletzt worden seien (Rz. 4, 24 f., 69, 82, 89, 94, 101, 118). Sie enthält aber keine tatsächlichen Feststellungen zum Sachverhalt der schweren Aufsichtsrechtsverletzung. Verweise auf die Verfügung gegen die Bank können tatsächlichen Feststellungen, die im Verfahren gegen den Beschwerdeführer erforderlich sind, nicht ersetzen. Der Sachverhalt ist insoweit unvollständig festgestellt, was verfahrensrechtlich dazu führt, dass die Begründungspflicht verletzt ist. Mit Blick auf den weiteren Verfahrensgang sind auch die übrigen gerügten Verfahrensrechtsverletzungen zu prüfen (vgl. nachfolgend).</w:t>
      </w:r>
    </w:p>
    <w:p>
      <w:r>
        <w:rPr>
          <w:b/>
        </w:rPr>
        <w:t>E. 6</w:t>
      </w:r>
    </w:p>
    <w:p>
      <w:r>
        <w:t>Gemäss Art. 30 VwVG hört die Behörde die Parteien an, bevor sie verfügt. Die Vorinstanz hat ein Gesamtverfahren durchgeführt und in Bezug auf die Bank Beweise unter einem gemeinsamen Dach erhoben (vgl. E. 5.1 zur Verfahrensausgestaltung). Der Beschwerdeführer rügt, die Vorinstanz stütze ihren Entscheid wesentlich auf die belastenden Aussagen von Drittpersonen ab. Weder er noch sein Rechtsvertreter hätten an den Befragungen teilnehmen und Ergänzungsfragen stellen können, obwohl sie dies beantragt hätten. Die Aussagen, die er im Rahmen der bankinternen Ermittlung gemacht habe, dürften nicht verwendet werden, weil sie in Verletzung des nemo tenetur-Grundsatzes zustande gekommen seien. Die Vorinstanz werfe ihm in der angefochtenen Verfügung vor (vgl. Rz. 80), er habe die Gelegenheit nicht ergriffen, seine gegenüber der bankinternen Ermittlerin gemachten Aussagen zu kommentieren oder allenfalls zu korrigieren, sich zu erklären und konkrete Verdachtsmomente gegen ihn zu entkräften. Er habe nur deshalb auf die Befragung vor der Vorinstanz verzichtet, weil er befürchtet habe, seine Aussagen, die unter Geltung der Mitwirkungspflicht erfolgt seien, würden aufgrund der Rechtshilfepflicht der Vorinstanz oder auf dem Weg der Amtshilfe in der gegen ihn geführten Strafuntersuchung verwendet. Deshalb habe er seine im Rahmen der bankinternen Ermittlung gemachten Aussagen auch nicht kommentieren und korrigieren können. Die Vorinstanz stelle auf seine Aussagen im bankinternen Ermittlungsverfahren ab, was unzulässig sei, weil er nicht darauf hingewiesen worden sei, dass die Aussagen in einem Enforcementverfahren gegen ihn verwendet würden. Selbst bei einer Verneinung der Qualifikation als strafrechtliche Anklage i.S.v. Art. 6 EMRK sei ihm nach Art. 18 Abs. 1 VwVG Gelegenheit zu geben, an den Befragungen von Zeugen und Auskunftspersonen anwesend zu sein und Fragen zu stellen. Das Äusserungsrecht anlässlich von Zeugeneinvernahmen wird konkretisiert durch Art. 18 VwVG. Nach Abs. 1 dieser Bestimmung haben die Parteien Anspruch darauf, den Zeugeneinvernahmen beizuwohnen und Ergänzungsfragen zu stellen. Die Einvernahme von Zeugen kann im Verwaltungsverfahren angeordnet werden, wenn sich ein Sachverhalt nicht auf andere Weise hinreichend abklären lässt (Art. 14 Abs. 1 VwVG). Dazu sind bestimmte Behörden der Verwaltungsrechtspflege ermächtigt, wozu dieVorinstanz gehört (Art. 14 Abs. 1 Bst. e VwVG). Wenn die Vorinstanz zur Zeugeneinvernahme schreitet, so hat sie den Parteien dieses Verfahrens das Teilnahme- und Mitwirkungsrecht nach Art. 18 VwVG zu gewähren. Sie ist zur Abnahme eines beantragten Zeugenbeweises aber nicht verpflichtet, wenn sich der Sachverhalt auf andere Weise abklären lässt. Da die Vorinstanz im Verfahren gegen den Beschwerdeführer keine Zeugen einvernommen hat, beruft er sich vergeblich auf die Gesetzesbestimmung. Die EMRK-Teilnahmerechte greifen nicht (E. 4.2) und die Verfahrensordnung des VwVG ist weder auf die private Sonderermittlung noch die Untersuchungsbeauftragte anwendbar (E. 4.3), weshalb die Vorinstanz auf die Aussagen des Beschwerdeführers und von Dritten abstellen durfte.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Der Beschwerdeführer konnte in dem gegen ihn geführten Verfahren auch Stellung nehmen zum Sachverhalt betreffend die Bank, in die beigezogenen Akten (zum Aktenbezug E. 7) Einsicht nehmen und hatte hinreichend Gelegenheit zur schriftlichen Stellungnahme (angefochtene Verfügung, Rz. 5 ff., 9, 10, 80). Dem Anspruch, "sich zumindest zum Beweisergebnis zu äussern, wenn dieses geeignet ist, den Entscheid zu beeinflussen", ist Genüge getan (BGE 142 I 86 E. 2.2 m.H.).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7.2.1</w:t>
      </w:r>
    </w:p>
    <w:p>
      <w:r>
        <w:t>Der Beschwerdeführer macht geltend, die Vorinstanz habe es nicht für nötig erachtet, Akten aus den parallelen Enforcementverfahren gegen andere Devisenhändler beizuziehen. Die Befragungsprotokolle enthielten (auch) entlastende Tatsachen; immerhin seien von ursprünglich elf Parallelverfahren deren vier eingestellt worden, nachdem die Händler ausgesagt hätten. Ferner sei ihm nicht vollständig Einsicht in die Akten des Verfahrens gegen die Bank gewährt worden; die Verfügung gegen die Bank beinhalte zahlreiche Schwärzungen und die Stellungnahmen der Bank in jenem Verfahren seien ihm vorenthalten worden. Auch stelle die angefochtene Verfügung auf anonyme Aussagen Dritter ab ("Ein Devisenhändler", Rz. 43 und 51 der angefochtenen Verfügung), deren Identität nicht offengelegt worden seien. Weiter bestreite er, dass die nicht aus dem Verfahren gegen die Bank beigezogenen Dokumente, Unterlagen und Informationen für das Verfahren gegen ihn nicht relevant seien, wie die Vorinstanz darlege. Der Aktenbeizug sei selektiv erfolgt.</w:t>
      </w:r>
    </w:p>
    <w:p>
      <w:r>
        <w:rPr>
          <w:b/>
        </w:rPr>
        <w:t>E. 7.2.2</w:t>
      </w:r>
    </w:p>
    <w:p>
      <w:r>
        <w:t>Die Vorinstanz hält fest, sie habe für das vorliegende Verfahren sehr umfassend Akten aus dem Verfahren gegen die Bank beigezogen, den Beschwerdeführer darüber frühzeitig informiert und ihm vollständig Einsicht gegeben. Nicht aus dem Verfahren gegen die Bank beigezogen seien Dokumente, Unterlagen und Informationen, die für das Verfahren gegen den Beschwerdeführer nicht relevant gewesen seien und deshalb nicht Grundlage der angefochtenen Verfügung gebildet hätten. Im Übrigen äussert sich die Vorinstanz nicht zu den Vorbringen des Beschwerdeführers.</w:t>
      </w:r>
    </w:p>
    <w:p>
      <w:r>
        <w:rPr>
          <w:b/>
        </w:rPr>
        <w:t>E. 7.2.3</w:t>
      </w:r>
    </w:p>
    <w:p>
      <w:r>
        <w:t>Streitig ist somit einerseits die Frage, ob und gegebenenfalls in welchem Umfang die Vorinstanz in nachgelagerten Verfahren zum Aktenbeizug verpflichtet ist (nachfolgend E. 7.3), und andererseits der Anspruch der natürlichen Person auf Akteneinsicht in die Akten eines Verfahrens, das gegen andere Verantwortliche geführt wurde, sei es wie hier in die Verfahrensakten betreffend das beaufsichtigte Bankinstitut oder in die Verfahrensakten einer anderen natürlichen Person (nachfolgend E. 7.4-7.5).</w:t>
      </w:r>
    </w:p>
    <w:p>
      <w:r>
        <w:rPr>
          <w:b/>
        </w:rPr>
        <w:t>E. 7.3</w:t>
      </w:r>
    </w:p>
    <w:p>
      <w:r>
        <w:t>Der Aktenbeizug ist nicht geregelt und richtet sich daher nach allgemeinen Verfahrensgrundsätzen. Die Partei hat das Recht, "in ihrer Sache folgende Akten [...] einzusehen" (Art. 26 Abs. 1 VwVG).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Der Anspruch setzt auf Seiten der Behörden eine Aktenführung voraus und gilt gleichermassen als Vorbedingung für die Ausübung des Anspruchs auf rechtliches Gehör (BGE 142 I 86 E. 2.2; 132 V 387 E. 3.1; Waldmann/Oeschger, in: Praxiskommentar VwVG,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 12 N 69 f.). Das Gesamtverfahren zeichnet sich gerade dadurch aus, dass im Nachgang verschiedene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"Informationsfluss"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nicht.</w:t>
      </w:r>
    </w:p>
    <w:p>
      <w:r>
        <w:rPr>
          <w:b/>
        </w:rPr>
        <w:t>E. 7.4</w:t>
      </w:r>
    </w:p>
    <w:p>
      <w:r>
        <w:t>Die Akteneinsicht knüpft in persönlicher Hinsicht an der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besonderes schützenswertes Interesse glaubhaft machen kann. Das Akteneinsichtsrecht ergibt sich gegebenenfalls aus eben 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 12 N 70 Fn. 213). Die Verweigerung ist allein aus überwiegenden öffentlichen oder privaten Geheimhaltungsinteressen zulässig (Art. 27 Abs. 1 Bst. a-b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 Waldmann, in: BSK BV, Art. 29 N 55; Alfred Kölz/Isabelle Häner/Martin Bertschi, Verwaltungsverfahren und Verwaltungsrechtspflege des Bundes, 3. Aufl., Zürich/Basel/Genf 2013, N 494).</w:t>
      </w:r>
    </w:p>
    <w:p>
      <w:r>
        <w:rPr>
          <w:b/>
        </w:rPr>
        <w:t>E. 7.5.1</w:t>
      </w:r>
    </w:p>
    <w:p>
      <w:r>
        <w:t>Der Beschwerdeführer rügt, die Stellungnahmen der Bank, welche diese im gegen sie geführten Verfahren abgegeben hatte, seien ihm vorenthalten worden. Die Einsicht ist jedoch durch kein besonders schützenswertes Interesse gedeckt: Die Stellungnahmen zu den Untersuchungsberichten und dem provisorischen Sachverhalt dienen der Wahrung des Gehörsanspruchs der Bank. Sie sind keine Parteiauskunft i.S.v. Art. 12 Bst. b VwVG und deshalb im Verfahren gegen den Beschwerdeführer nicht zum Beweis geeignet. Das Akteneinsichtsrecht ist insoweit nicht verletzt.</w:t>
      </w:r>
    </w:p>
    <w:p>
      <w:r>
        <w:rPr>
          <w:b/>
        </w:rPr>
        <w:t>E. 7.5.2</w:t>
      </w:r>
    </w:p>
    <w:p>
      <w:r>
        <w:t>Der Beschwerdeführer bringt vor, es sei ihm nicht vollständig Einsicht in die Akten des Verfahrens gegen die Bank gewährt worden, namentlich weise die Verfügung gegen die Bank zahlreiche Schwärzungen auf. Die Vorinstanz äussert sich nicht ausdrücklich dazu, sondern hält pauschal fest, sie habe diejenigen Dokumente, Unterlagen und Informationen nicht beigezogen, die für das Verfahren gegen den Beschwerdeführer nicht relevant seien und nicht Grundlage der angefochtenen Verfügung bildeten. Damit hat sie die Erheblichkeit der Akte selbst beurteilt. Das Akteneinsichtsrecht in diejenigen Akten, die im Verfahren beigezogen worden oder beizuziehen sind, darf aber allein aus Gründen überwiegender Geheimhaltungsinteressen verweigert werden. Der Gehörsanspruch ist vorliegend zwar unter dem Aspekt des Anspruchs, sich zumindest zum Ergebnis der Untersuchung zu äussern, sofern dieses den Entscheid beeinflussen kann (Äusserungsrecht), gewahrt (vgl. E. 6); hingegen ist dem Gehörsanspruch nicht Genüge getan unter dem Aspekt des Akteneinsichtsrechts. Diese beiden Teilgehalte des rechtlichen Gehörs sind nicht kongruent; das Akteneinsichtsrecht bildet vielmehr eine Vorbedingung für die Wahrnehmung der Mitwirkungsrechte (vgl. E. 7.3; Waldmann, in: BSK BV, Art. 29 N 54). Da es für die Ausübung des Akteneinsichtsrechts der Partei anheimgestellt werden muss, ob sie die Akte als erheblich einstuft oder nicht, verletzt die Begründung der Vorinstanz Bundesrecht. Ob das Akteneinsichtsrecht verweigert werden darf, weil überwiegende Geheimhaltungsinteressen entgegenstehen (Art. 27 VwVG), kann das Bundesverwaltungsgericht nicht prüfen, weil ihm die Verfügung gegen die Bank ebenfalls nicht in vollständiger, ungeschwärzter Ausfertigung vorliegt und die Vorinstanz nicht darlegt, welche Geheimhaltungsinteressen überwiegen. Das Akteneinsichtsrecht ist insoweit zumindest in der Form der Begründungspflicht verletzt.</w:t>
      </w:r>
    </w:p>
    <w:p>
      <w:r>
        <w:rPr>
          <w:b/>
        </w:rPr>
        <w:t>E. 7.5.3</w:t>
      </w:r>
    </w:p>
    <w:p>
      <w:r>
        <w:t>Der Beschwerdeführer macht geltend, die Vorinstanz habe es nicht für nötig erachtet, Akten aus den parallelen Enforcementverfahren gegen andere Devisenhändler, namentlich Befragungsprotokolle, beizuziehen. Bei den fraglichen Dokumenten handelt es sich nicht um Akten der gemeinsamen Untersuchung. Die Protokolle wurden in anderen Enforcementverfahren erstellt, in denen der Beschwerdeführer keine Parteistellung hatte, weshalb sie im Verfahren gegen ihn nicht beigezogen werden mussten (vgl. E. 7.3). Als Dritter hat er ein Einsichtsrecht nur unter der Voraussetzung, dass er ein besonders schützenswertes Interesse glaubhaft machen kann (vgl. E. 7.4 f.). Ein solches legt er nicht substantiiert dar und ist auch nicht ersichtlich, zumal ihm die Aussagen mit der Zusammenfassung im "Statement of Facts" (zit. in E. 9.2) zugänglich waren und er Einsicht nehmen konnte.</w:t>
      </w:r>
    </w:p>
    <w:p>
      <w:r>
        <w:rPr>
          <w:b/>
        </w:rPr>
        <w:t>E. 7.5.4</w:t>
      </w:r>
    </w:p>
    <w:p>
      <w:r>
        <w:t>Der Beschwerdeführer bringt schliesslich vor, er werde auf anonyme Aussagen Dritter abgestellt ("Ein Devisenhändler", so in Rz. 43 und 51 der angefochtenen Verfügung). Die Identität dieser Personen sei von der Vorinstanz nicht offengelegt worden. Dies trifft nicht zu: In den genannten Randziffern der Verfügung wird auf die entsprechende Aktenstelle in den beigezogenen und offengelegten Akten des Verfahrens gegen die Bank referenziert (Fn. 48 verweist auf "Akten Bank 8 p. 1675" und Fn. 57 auf "Akten Bank 8 p. 1700-1702; 8 p. 2783-2784; 9 p. 001-073"). In den referenzierten Seiten sind die Händler namentlich genannt und die entsprechenden Aussagen wörtlich wiedergegeben, wobei die letztgenannte Angabe auf die teilweise geschwärzte Verfügung gegen die Bank verweist, was jedoch in diesem Zusammenhang unerheblich ist, da die Namen in den Akten angeführt sind. Die Vorinstanz hat die Identität der Personen offengelegt, womit das Vorbringen unbegründet ist.</w:t>
      </w:r>
    </w:p>
    <w:p>
      <w:r>
        <w:rPr>
          <w:b/>
        </w:rPr>
        <w:t>E. 8</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(Urteil des BVGer B-6791/2009 vom 8. November 2010 E. 5.3.1; Waldmann/Bickel, in: Praxiskommentar VwVG,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Waldmann/Bickel, in: Praxiskommentar VwVG, Art. 32 N 18). Der Beschwerdeführer macht geltend, die Vorinstanz habe sich mit seinen wesentlichen Rügen und Vorbringen nicht auseinandergesetzt. Die Vorinstanz führt aus, es bestünden keine Anhaltspunkte, an der Feststellung in der Verfügung gegen die Bank bzw. der darin enthaltenen Begründung und Würdigung zu zweifeln oder diese nochmals in Erwägung zu ziehen (vgl. E. 5.3 und 5.5). Insbesondere habe sie sich mit den vom Beschwerdeführer vorgebrachten Bedenken und Argumenten inhaltlich im Wesentlichen bereits im Verfahren und in der Verfügung gegen die Bank auseinandergesetzt. Die Berücksichtigungspflicht ist vorliegend verletzt dadurch, dass die Vorinstanz die sinngemässen Vorbringen zur Aufsichtsrechtsverletzung durch die Bank nicht hört und auf die Verfügung gegen die Bank verweist.</w:t>
      </w:r>
    </w:p>
    <w:p>
      <w:r>
        <w:rPr>
          <w:b/>
        </w:rPr>
        <w:t>E. 9.1</w:t>
      </w:r>
    </w:p>
    <w:p>
      <w:r>
        <w:t>Gemäss Art. 12 VwVG stellt die Behörde den Sachverhalt von Amtes wegen fest und bedient sich nötigenfalls der folgenden Beweismittel: a. Urkunden; b. Auskünfte der Parteien; c. Auskünfte oder Zeugnis von Drittpersonen; d. Augenschein; e. Gutachten von Sachverständigen. Zulässige Beweismittel sind verwertbar in der Beweiswürdigung.</w:t>
      </w:r>
    </w:p>
    <w:p>
      <w:r>
        <w:rPr>
          <w:b/>
        </w:rPr>
        <w:t>E. 9.2</w:t>
      </w:r>
    </w:p>
    <w:p>
      <w:r>
        <w:t>Der Beschwerdeführer stellt den Gutachtenscharakter des Sachverhaltsberichts ("Statement of Facts" vom 1. September 2014) in Abrede und bringt vor, dieser enthalte keine rechtliche Würdigung des Sachverhalts, weshalb es ihm unmöglich gewesen sei, diesbezüglich etwas zu seiner Verteidigung vorzubringen. Sinngemäss bringt er damit vor, die Verwertung des "Statement of Facts" sei unzulässig. Die Vorinstanz hat in der angefochtenen Verfügung erwogen, das "Statement of Facts" sei von der Untersuchungsbeauftragten in Ausführung ihres Untersuchungsmandats im Verfahren gegen die Bank erstellt worden. Es fasse die individualisierten Untersuchungsergebnisse betreffend den Beschwerdeführer zusammen und verweise auf die zugrunde liegenden Dokumente aus der Untersuchung gegen die Bank sowie auf die Analysen der Untersuchungsbeauftragten betreffend den Beschwerdeführer. Das "Statement of Facts" sei ein zulässiges Beweismittel. Sie haben sich für die Ermittlung des relevanten Sachverhalts auch nicht ausschliesslich auf die Feststellungen im "Statement of Facts", sondern auf sämtliche relevanten Dokumente und Informationen der Verfahrensakten (einschliesslich beigezogener Akten) abgestützt.</w:t>
      </w:r>
    </w:p>
    <w:p>
      <w:r>
        <w:rPr>
          <w:b/>
        </w:rPr>
        <w:t>E. 9.3</w:t>
      </w:r>
    </w:p>
    <w:p>
      <w:r>
        <w:t>Nach Art. 36 FINMAG kann die FINMA eine unabhängige und fachkundige Person damit beauftragen, bei einer Beaufsichtigten einen aufsichtsrechtlich relevanten Sachverhalt abzuklären (Untersuchungsbeauftragte). Die Untersuchungsbeauftragte ist hinsichtlich ihrer Funktion - entgegen der Ansicht des Beschwerdeführers - eine Sachverständige, die gestützt auf besondere Sachkenntnis einen Bericht über die Sachverhaltsprüfung und die Sachverhaltswürdigung erstellt, ohne eine rechtliche Würdigung vorzunehmen (vgl. Maurenbrecher/Terlinden, in: BSK FINMAG, Art. 36 N 17 ff. und N 21 ff. mit Verweis auf BGE 132 II 257 E. 4.4.1; Friedmann/Kuhn/ Schönknecht, in: SGHB, § 12 N 62; Zulauf/Wyss et. Al., a.a.O., S. 135; Kölz/Häner/Bertschi, a.a.O., N 473). Entsprechend gilt der Untersuchungsbericht als Sachverständigengutachten i.S.v. Art. 12 Bst. e VwVG (Urteile des BGer 2A.332/2006 vom 6. März 2007 E. 3 und 2A.360/2006 vom 12. September 2006 E. 3.2) und ist demnach ein zulässiges Beweismittel. Die Sachverständigen bieten durch ihre Unabhängigkeit gegenüber der Verwaltung und den Betroffenen einerseits sowie andererseits aufgrund der besonderen Fach- und Sachkunde Gewähr dafür, dass die Verwaltung auf das Sachverständigengutachten abstellen darf, wenn sie den Parteien das rechtliche Gehör dazu gewährt. Dabei genügt, dass die Parteien zumindest zur Person des Sachverständigens und dessen Schlussfolgerungen Stellung nehmen können (vgl. BGE 125 V 332 E. 4b; Kölz/Häner/Bertschi, a.a.O., N 541). Der Beschwerdeführer hatte ausreichend Gelegenheit, sich zu den Untersuchungsergebnissen zu äussern (vgl. E. 6). Er übergeht, dass das "Statement of Facts" vom 1. September 2014 nichts anderes als eine Zusammenfassung der Untersuchungsergebnisse, die ihn betreffen, enthält. Sie bietet eine Hilfestellung. Die Untersuchungsbeauftragte erstellte den Bericht im Rahmen des Hauptverfahrens (bestehend aus First, Second, Third, Fourth Interim Report und "Response to FINMA's questions" vom 26. September 2014 inkl. Beilagen), sodass im nachgelagerten Verfahren keine Notwendigkeit mehr bestand, eine Untersuchungsbeauftragte mit einem neuen Auftrag einzusetzen. Sie hatte den Auftrag, auch Abklärungen zu den involvierten Personen im Devisenhandel der Bank vorzunehmen. Soweit der Beschwerdeführer vorbringt, er habe sich nicht zur rechtlichen Würdigung des Sachverhaltsberichts äussern können, ist er nicht zu hören. Die Vorinstanz hat im Schreiben betreffend die Eröffnung des Enforcementverfahrens die Ausgangslage und die anwendbaren Rechtsnormen genannt. Der Beschwerdeführer konnte sich im Laufe des Verfahrens zum "Statement of Facts" sowie zum provisorischen Sachverhalt äussern und hatte überdies ausreichend Gelegenheit zur schriftlichen oder mündlichen Äusserung (vgl. E. 6; vgl. BGE 132 II 485 E. 3.4). Das rechtliche Gehör vermittelt einen Anspruch, der dem Betroffenen in Bezug auf die Feststellung des rechtserheblichen Sachverhalts und das Beweisergebnis zusteht, hingegen keinen Anspruch auf eine vorgängige Anhörung der Rechtsanwendung. Die Vor-instanz ist nicht verpflichtet, dem Betroffenen vorgängig mitzuteilen, wie sie den Sachverhalt zu würdigen beabsichtigt und diesbezüglich Gelegenheit zur Stellungnahme einzuräumen, ausser wenn der Betroffene vor "überraschender Rechtsanwendung" zu schützen ist oder im Falle spezialgesetzlich vorgesehener Vorbescheidverfahren (vgl. BGE 129 II 497 E. 2.2; BGE 114 Ia 97 E. 2; BVGE 2009/53 E. 5.4; Kölz/Häner/Bertschi, a.a.O., N 530; Waldmann/Bickel, in: Praxiskommentar VwVG, Art. 30 N 19 ff.).</w:t>
      </w:r>
    </w:p>
    <w:p>
      <w:r>
        <w:rPr>
          <w:b/>
        </w:rPr>
        <w:t>E. 9.4</w:t>
      </w:r>
    </w:p>
    <w:p>
      <w:r>
        <w:t>Der Beschwerdeführer bringt ferner vor, die von der Untersuchungsbeauftragten erstellten Zusammenfassungen der Aussagen von Drittpersonen sei unzulässig. Die Untersuchungsbeauftragte habe zum "Statement of Facts" einen Vorbehalt betreffend Beweisfähigkeit angebracht, den die Vorinstanz nun herunterspiele. Die Vorinstanz hält fest, die von der Untersuchungsbeauftragten erstellten Zusammenfassungen von Aussagen des Beschwerdeführers und Drittpersonen, welche diese im Rahmen des Verfahrens gegen die Bank gegenüber der Untersuchungsbeauftragten oder im Rahmen der bankinternen Ermittlungen gemacht hätten, seien zulässige Beweismittel. Weder der Umstand, dass diese Aussagen nicht formell als Auskunftsperson, Zeuge oder Partei gemacht worden seien, noch die Tatsache, dass der Beschwerdeführer bei der Befragung von Drittpersonen keine Teilnahme- und Fragerechte ausüben konnte, führe zum Ausschluss als Beweismittel. Die Rahmenbedingungen, unter denen die Befragungen mit den entsprechenden Aussagen erfolgt und von der Untersuchungsbeauftragten festgehalten worden seien, würden sich jedoch auf den Beweiswert der Zusammenfassungen auswirken. Die Vorinstanz habe diesen Aspekt im Rahmen der freien Beweiswürdigung entsprechend berücksichtigt. Allfällige Anträge auf Wiederholung der Erstellung dieser Beweismittel würden insofern und der guten Ordnung halber im Rahmen einer antizipierten Beweiswürdigung abgewiesen (angefochtenen Verfügung, Rz. 73). Die Vorinstanz durfte auf die Aussagen - wie bereits ausgeführt (vgl. E. 6) - abstellen und für die Zusammenfassungen der Aussagen gilt dasselbe wie für das "Statements of Facts" (vgl. E. 9.3).</w:t>
      </w:r>
    </w:p>
    <w:p>
      <w:r>
        <w:rPr>
          <w:b/>
        </w:rPr>
        <w:t>E. 10</w:t>
      </w:r>
    </w:p>
    <w:p>
      <w:r>
        <w:t>Gemäss Art. 10 Abs. 1 VwVG treten Personen, die eine Verfügung zu treffen oder diese vorzubereiten haben, in Ausstand, wenn ein gesetzlicher Ausstandsgrund vorliegt (Bst. a-d). Der Beschwerdeführer bringt vor, die Vorinstanz sei befangen gewesen, weil sie von der rechtskräftigen Verfügung gegen die Bank ausgegangen sei und einzelne Erwägungen wörtlich übernommen habe. Bei Eröffnung des Verfahrens habe für die Verantwortlichen der Vorinstanz aufgrund der Erwägungen in der Verfügung gegen die Bank bereits festgestanden, dass er sich treuwidrig verhalten habe. Der Vorwurf der Befangenheit ist unbegründet. Aus dem Umstand, dass dieselbe Behörde bereits gegen die Bank ein Enforcementverfahren geführt hat, lässt sich keine unzulässige Vorbefassung ableiten. Anhaltspunkte dafür, dass die Vorinstanz sich bereits zu Beginn in Bezug auf die Beurteilung des Sachverhalts festgelegt habe, bestehen keine (vgl. BGE 140 I 326 E. 5.2). Der Beschwerdeführer substantiiert denn auch nicht, wie sich eine allfällige unzulässige Vorbefassung geäussert habe.</w:t>
      </w:r>
    </w:p>
    <w:p>
      <w:r>
        <w:rPr>
          <w:b/>
        </w:rPr>
        <w:t>E. 11.1</w:t>
      </w:r>
    </w:p>
    <w:p>
      <w:r>
        <w:t>Zusammenfassend ist der Gehörsanspruch dadurch verletzt, dass die Vorinstanz der angefochtenen Verfügung eine Rechtskrafterstreckung zugrunde gelegt hat (E. 5.3-5.5). Dem Akteneinsichtsrecht (E. 7.5) ist insoweit nicht Genüge getan, als jedenfalls die Begründungspflicht verletzt ist. Der Berücksichtigungspflicht ist in Bezug auf die Sachvorbringen nicht Genüge getan (E. 8). Die Verfügung enthält keine tatsächlichen Feststellungen zum Tatbestandsmerkmal der schweren Verletzung aufsichtsrechtlicher Bestimmungen durch die Bank (E. 5.5). Die Verfahrensgarantien sind verletzt.</w:t>
      </w:r>
    </w:p>
    <w:p>
      <w:r>
        <w:rPr>
          <w:b/>
        </w:rPr>
        <w:t>E. 11.2</w:t>
      </w:r>
    </w:p>
    <w:p>
      <w:r>
        <w:t>Der Gehörsanspruch als allgemeine Verfahrensgarantie ist "formeller Natur" (statt vieler BGE 142 II 218 E. 2.8.1; Ulrich Häfelin/Walter Haller/Helen Keller/Daniela Thurnherr, Schweizerischen Bundesstaatsrecht, 9. Aufl., Zürich/Basel/Genf 2016, N 839; Kölz/Häner/Bertschi, a.a.O., N 174; Steinmann, in: SKBV, Art. 29 N 59; Waldmann, in: BSK BV, Art. 29 N 7; Benjamin Schindler, Die "formelle Natur" von Verfahrensgrundrechten, Verfahrensfehlerfolgen im Verwaltungsrecht - ein Abschied von der überflüssigen Figur der Heilung, in: ZBl 2005, S. 169 ff.). Die Gehörsverletzung führt grundsätzlich ungeachtet der Erfolgsaussichten in der Sache zur Aufhebung der angefochtenen Verfügung (BGE 142 II 218 E. 2.8.1; 141 V 495 E. 2.2;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Art. 29 N 59 m.H.). Ob die Verletzung im vorliegenden Fall schwer wiegt oder nicht, kann offen bleiben. Eine Heilung der Gehörsverletzung fällt aus anderen Gründen ausser Betracht: Erstens handelt es sich bei der Vorinstanz um eine Fachbehörde, die über ein sog. fachtechnisches Ermessen verfügt. Mit dem Fachwissen ist sie zweitens besser geeignet, die fehlenden Sachverhaltsfeststellungen zu treffen zu behandeln. Drittens kommt hinzu, dass der Beschwerdeführer einen Instanzenverlust zu gewärtigen hätte, wenn die Gehörsverletzung durch das Gericht geheilt würde.</w:t>
      </w:r>
    </w:p>
    <w:p>
      <w:r>
        <w:rPr>
          <w:b/>
        </w:rPr>
        <w:t>E. 11.3</w:t>
      </w:r>
    </w:p>
    <w:p>
      <w:r>
        <w:t>Aus diesen Gründen scheidet eine ausnahmsweise Heilung der Gehörsverletzung durch das Gericht aus. Die Verletzung führt zur Aufhebung der angefochtenen Verfügung und zur Rückweisung der Sache an die Vorinstanz (Art. 61 Abs. 1 VwVG). Eine materielle Prüfung der angefochtenen Verfügung erübrigt sich bei diesem Ergebnis.</w:t>
      </w:r>
    </w:p>
    <w:p>
      <w:r>
        <w:rPr>
          <w:b/>
        </w:rPr>
        <w:t>E. 12</w:t>
      </w:r>
    </w:p>
    <w:p>
      <w:r>
        <w:t>Die Beschwerde ist gutzuheissen. Die angefochtene Verfügung ist aufzuheben und die Sache im Sinne der Erwägungen zur neuen ergebnisoffenen Entscheidung an die Vorinstanz zurückzuweisen. Nach der Rückweisung wird die Vorinstanz dem Beschwerdeführer die gegen die Bank ergangene Verfügung offenlegen müssen, soweit einer Offenlegung keine überwiegenden Interessen entgegenstehen. Sie wird die Sachvorbringen des Beschwerdeführers in Bezug auf die durch die Bank begangene schwere Verletzung aufsichtsrechtlicher Bestimmungen einer Überprüfung zu unterziehen haben. Kommt sie zum Schluss, dass weitere Beweisabnahmen erforderlich sind, kann sie allenfalls eine Beweisselektion treffen. Gestützt auf die nötigen Beweisvorkehren hat sie die tatsächlichen Feststellungen zur Aufsichtsrechtsverletzung durch die Bank zu treffen und in der Sache neu zu verfügen.</w:t>
      </w:r>
    </w:p>
    <w:p>
      <w:r>
        <w:rPr>
          <w:b/>
        </w:rPr>
        <w:t>E. 13.1</w:t>
      </w:r>
    </w:p>
    <w:p>
      <w:r>
        <w:t>Entsprechend dem Verfahrensausgang obsiegt der Beschwerdeführer, weshalb ihm keine Kosten zu auferlegen sind (Art. 63 Abs. 1 VwVG). Vorinstanzen tragen keine Verfahrenskosten (Art. 63 Abs. 1 und 2 VwVG).</w:t>
      </w:r>
    </w:p>
    <w:p>
      <w:r>
        <w:rPr>
          <w:b/>
        </w:rPr>
        <w:t>E. 13.2</w:t>
      </w:r>
    </w:p>
    <w:p>
      <w:r>
        <w:t>Der Beschwerdeführer hat als obsiegende Partei Anspruch auf eine Parteientschädigung für die ihm erwachsenen notwendigen Kosten (Art. 64 Abs. 1 VwVG i.V.m. Art. 7 Abs. 1 des Reglements vom 21. Februar 2008 über die Kosten und Entschädigungen vor dem Bundesverwaltungsgericht [VGKE, SR 173.320.2]).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Der Beschwerdeführer, der sich vor Bundesverwaltungsgericht anwaltlich vertreten liess, hat keine Kostennote eingereicht. Aufgrund der Akten und des geschätzten notwendigen Aufwands der Vertretung sowie unter Berücksichtigung, dass ein Grossteil der Ausführungen bereits im vorinstanzlichen Verfahren erarbeitet wurden, erscheint eine Parteientschädigung von insgesamt Fr. 12'000.- (inkl. Mehrwertsteuerzuschlag i.S.v. Art. 9 Abs. 1 Bst. c VGKE)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