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B-6850/2023 vom 27. März 2025</w:t>
      </w:r>
    </w:p>
    <w:p>
      <w:r>
        <w:t>Bundesverwaltungsgericht, 2025-03-27, DE</w:t>
      </w:r>
    </w:p>
    <w:p>
      <w:r>
        <w:rPr>
          <w:b/>
        </w:rPr>
        <w:t xml:space="preserve">Quelle: </w:t>
      </w:r>
      <w:r>
        <w:t>https://mcp.opencaselaw.ch/entscheid/bvger_B-6850_2023</w:t>
      </w:r>
    </w:p>
    <w:p>
      <w:r>
        <w:t>FR: TAF B-6850/2023 du 27 mars 2025</w:t>
      </w:r>
    </w:p>
    <w:p>
      <w:r>
        <w:t>IT: TAF B-6850/2023 del 27 marzo 2025</w:t>
      </w:r>
    </w:p>
    <w:p>
      <w:pPr>
        <w:pStyle w:val="Heading2"/>
      </w:pPr>
      <w:r>
        <w:t>Regeste</w:t>
      </w:r>
    </w:p>
    <w:p>
      <w:r>
        <w:t>Unerlaubte Tätigkeit (BankG, BEHG, KAG)</w:t>
      </w:r>
    </w:p>
    <w:p>
      <w:pPr>
        <w:pStyle w:val="Heading2"/>
      </w:pPr>
      <w:r>
        <w:t>Erwägungen</w:t>
      </w:r>
    </w:p>
    <w:p>
      <w:r>
        <w:rPr>
          <w:b/>
        </w:rPr>
        <w:t>E. 1.1</w:t>
      </w:r>
    </w:p>
    <w:p>
      <w:r>
        <w:t>Der Entscheid der Vorinstanz vom 7. November 2023 stellt eine Verfü- gung im Sinne von Art. 5 des Verwaltungsverfahrensgesetzes vom 20. De- zember 1968 (VwVG, SR 172.021) dar. Das Bundesverwaltungsgericht ist gemäss Art. 31 des Verwaltungsgerichtsgesetzes vom 17. Juni 2005 (VGG, SR 173.32) Beschwerdeinstanz gegen Verfügungen gemäss Art. 5 VwVG, die unter anderem von den Anstalten und Betrieben des Bun- des erlassen werden (Art. 33 Bst. e VGG). Darunter fällt die vorliegende, von der Vorinstanz erlassene Verfügung (Art. 54 Abs. 1 des Finanzmarkt- aufsichtsgesetzes vom 22. Juni 2007 [FINMAG, SR 956.1]). Da kein Aus- schlussgrund nach Art. 32 VGG vorliegt, ist das Bundesverwaltungsgericht somit für die Behandlung der vorliegenden Beschwerde gegen die vor- instanzliche Verfügung zuständig.</w:t>
      </w:r>
    </w:p>
    <w:p>
      <w:r>
        <w:rPr>
          <w:b/>
        </w:rPr>
        <w:t>E. 1.2</w:t>
      </w:r>
    </w:p>
    <w:p>
      <w:r>
        <w:t>Als Adressat der angefochtenen Verfügung ist der Beschwerdeführer durch die ihn selbst betreffenden Feststellungen und Anordnungen im Dis- positiv der Verfügung besonders berührt. Er hat insofern ein schutzwürdi- ges Interesse an der Aufhebung oder Änderung dieser Verfügungsteile und ist daher in diesen Punkten beschwerdelegitimiert im Sinne von Art. 48 VwVG.</w:t>
      </w:r>
    </w:p>
    <w:p>
      <w:r>
        <w:rPr>
          <w:b/>
        </w:rPr>
        <w:t>E. 1.3</w:t>
      </w:r>
    </w:p>
    <w:p>
      <w:r>
        <w:t>Die Beschwerdefrist sowie die Anforderungen an Form und Inhalt der Beschwerdeschrift wurden gewahrt (vgl. Art. 50 Abs 1 sowie 52 Abs. 1 VwVG) und der Kostenvorschuss wurde geleistet (vgl. Art. 63 Abs. 4 VwVG). Ebenso hat sich die Rechtsvertreterin des Beschwerdeführers durch eine schriftliche Vollmacht ausgewiesen (Art. 11 Abs. 2 VwVG).</w:t>
      </w:r>
    </w:p>
    <w:p>
      <w:r>
        <w:rPr>
          <w:b/>
        </w:rPr>
        <w:t>E. 1.4</w:t>
      </w:r>
    </w:p>
    <w:p>
      <w:r>
        <w:t>Auf die Beschwerde ist somit einzutreten.</w:t>
      </w:r>
    </w:p>
    <w:p>
      <w:r>
        <w:rPr>
          <w:b/>
        </w:rPr>
        <w:t>E. 2</w:t>
      </w:r>
    </w:p>
    <w:p>
      <w:r>
        <w:t>Die A._______ AG in Liquidation und die B._______ AG in Liquidation ha- ben keine Beschwerde gegen die Verfügung vom 7. November 2023 erho- ben. Die angefochtene Verfügung ist daher in Bezug auf die diese Gesell- schaften betreffenden Punkte, insbesondere die Feststellung einer unter- stellungspflichtigen Tätigkeit gemeinsam mit der C._______ LLC als Gruppe (Verfügung Disp.-Ziff. 1), in Rechtskraft erwachsen. Die Frage der Unterstellung und der Verletzung aufsichtsrechtlicher Bestimmungen durch</w:t>
      </w:r>
    </w:p>
    <w:p>
      <w:r>
        <w:t>B-6850/2023 Seite 9 die A._______ AG beziehungsweise die B._______ AG stellt in Bezug auf den Streitgegenstand eine notwendige Vorfrage dar. Diese Frage ist zwar den einzelnen Gesellschaften gegenüber rechtskräftig entschieden, doch kann diese Rechtskraft dem Beschwerdeführer nicht entgegengehalten werden (BGE 142 II 243 E. 2.3; Urteil des BGer 2C_747/2021 vom 30. März 2023 E. 8). Diese Frage könnte daher im vorliegenden Verfahren uneingeschränkt geprüft werden, soweit sie vorfrageweise relevant ist für den Streitgegenstand. Der – anwaltliche vertretene – Beschwerdeführer führt indessen in seiner Beschwerde ausdrücklich aus, dass er auf Ausführungen in Bezug auf den Vorwurf der Entgegennahme von Publikumseinlagen verzichte. Auch was die sachverhaltliche Grundlage dieser rechtlichen Qualifikation durch die Vorinstanz betrifft, so rügt er lediglich, die Vorinstanz und deren Untersu- chungsbeauftragte hätten den Vorwurf eines "Schneeballsystems" nicht weiter begründet. Den Vorwurf, aufgrund seines massgeblichen Beitrages an der unerlaubten Tätigkeit habe auch er selbst ohne Bewilligung ge- werbsmässig Publikumseinlagen entgegengenommen, bestreitet er dage- gen nicht, jedenfalls nicht ausdrücklich.</w:t>
      </w:r>
    </w:p>
    <w:p>
      <w:r>
        <w:rPr>
          <w:b/>
        </w:rPr>
        <w:t>E. 3</w:t>
      </w:r>
    </w:p>
    <w:p>
      <w:r>
        <w:t>Der Vorwurf der Vorinstanz, die A._______ AG, die B._______ AG und die C._______ LLC hätten als Gruppe gewerbsmässig Publikumseinlagen ent- gegengenommen und der Beschwerdeführer habe massgeblich zu dieser unerlaubten Tätigkeit beigetragen, ist denn auch nicht zu beanstanden:</w:t>
      </w:r>
    </w:p>
    <w:p>
      <w:r>
        <w:rPr>
          <w:b/>
        </w:rPr>
        <w:t>E. 3.1</w:t>
      </w:r>
    </w:p>
    <w:p>
      <w:r>
        <w:t>Natürliche und juristische Personen, die nicht dem Bankengesetz un- terstehen, dürfen keine Publikumseinlagen gewerbsmässig entgegenneh- men. Der Bundesrat kann Ausnahmen vorsehen, sofern der Schutz der Einleger gewährleistet ist (Art. 1 Abs. 2 des Bankengesetzes vom 8. No- vember 1934 [BankG, SR 952.0]). Wer gewerbsmässig Publikumseinlagen entgegennimmt, ist bewilligungs- und aufsichtspflichtig und gilt damit als Bank (Art. 3 BankG i.V.m. Art. 3 Bst. a FINMAG; Urteil des BGer 2C_345/2015 vom 24. November 2015 E. 6.5). Als Publikumseinlagen gel- ten nach Art. 5 Abs. 1 der Bankenverordnung vom 30. April 2014 (BankV, SR 952.02) die Verbindlichkeiten gegenüber Kundinnen und Kunden mit Ausnahme derjenigen nach Art. 5 Abs. 2 und 3 BankV. Nach Art. 6 Abs. 1 BankV handelt gewerbsmässig im Sinne des BankG, wer dauernd mehr als 20 Publikumseinlagen oder sammelverwahrte kryptobasierte Vermö- genswerte entgegennimmt oder sich öffentlich zur Entgegennahme von Publikumseinlagen oder sammelverwahrten kryptobasierten</w:t>
      </w:r>
    </w:p>
    <w:p>
      <w:r>
        <w:t>B-6850/2023 Seite 10 Vermögenswerten empfiehlt, selbst wenn in der Folge weniger als 20 Pub- likumseinlagen oder kryptobasierte Vermögenswerte entgegengenommen werden. Nach der Rechtsprechung besteht die Entgegennahme von Publikumsein- lagen – das bankenmässige Passivgeschäft – darin, dass ein Unterneh- men für eigene Rechnung gewerbsmässig Verpflichtungen gegenüber Drit- ten eingeht, d.h. selber zum Rückzahlungsschuldner der entsprechenden Leistung wird (BGE 136 II 43 E. 4.2 m.H.; 132 II 382 E. 6.3.1). Entschei- dend für den Einlagebegriff ist die unbedingte Rückzahlungsverpflichtung für die empfangene Leistung (Urteil des BGer 2C_345/2015 vom 24. No- vember 2015 E. 7.1 und 7.4.3). Der Einlagebegriff verlangt aber weder, dass die gesamte Summe zurückbezahlt wird, noch, dass die Rückzahlung sofort und ohne Zwischentransaktion erfolgt (Urteil des BGer 2C_860/2017 vom 5. März 2018 E. 5.3.1). Grundsätzlich gelten sämtliche Verbindlichkeiten als Einlagen, sofern sie nicht aufgrund einer zulässigen rechtsatzmässigen Regelung von diesem Begriff ausgenommen worden sind (BGE 136 II 43 E. 4.2 m.H.). Nach der Praxis des Bundesgerichts sind verschiedene natürliche und ju- ristische Personen in Bezug auf die Ausübung einer bewilligungspflichtigen Tätigkeit dann aufsichtsrechtlich als Gesamtheit zu betrachten, wenn eine derart enge wirtschaftliche Verflechtung besteht, dass nur eine gesamt- hafte Betrachtungsweise den faktischen Gegebenheiten gerecht wird und Gesetzesumgehungen verhindern kann. Der Schutz des Marktes und der Anleger rechtfertigt trotz formaljuristischer Trennung der Strukturen finanz- marktrechtlich eine einheitliche (wirtschaftliche) Betrachtungsweise, wenn zwischen den einzelnen Personen und/oder Gesellschaften enge wirt- schaftliche (bzw. finanzielle/geschäftliche), organisatorische und perso- nelle Verflechtungen bestehen und vernünftigerweise einzig eine Gesamt- betrachtung den faktischen Gegebenheiten und der Zielsetzung der Fi- nanzmarktaufsicht gerecht wird. Ein gruppenweises Handeln kann insbe- sondere dann gegeben sein, wenn die Beteiligten gegen aussen als Einheit auftreten bzw. aufgrund der Umstände (Verwischung der rechtlichen und buchhalterischen Grenzen zwischen den Beteiligten; faktisch gleicher Ge- schäftssitz; wirtschaftlich unbegründete, verschachtelte Beteiligungsver- hältnisse; zwischengeschaltete Treuhandstrukturen) davon auszugehen ist, dass koordiniert – ausdrücklich oder stillschweigend arbeitsteilig und zielgerichtet – eine gemeinsame Aktivität im aufsichtsrechtlichen Sinn wahrgenommen wird (BGE 135 II 356 E. 3.2). Das Erfassen von</w:t>
      </w:r>
    </w:p>
    <w:p>
      <w:r>
        <w:t>B-6850/2023 Seite 11 bewilligungslos tätigen Intermediären im Rahmen einer Gruppe aufgrund einer wirtschaftlichen (statt rein formellen) Betrachtungsweise mit den ent- sprechenden aufsichtsrechtlichen Konsequenzen richtet sich gegen den Rechtsmissbrauch und soll verhindern, dass Akteure, die in Umgehung der finanzmarktrechtlichen Auflagen handeln, bessergestellt werden, als wer sich gesetzeskonform der Aufsicht der staatlichen Behörden unterwirft (BGE 136 II 43 E. 4.3.3).</w:t>
      </w:r>
    </w:p>
    <w:p>
      <w:r>
        <w:rPr>
          <w:b/>
        </w:rPr>
        <w:t>E. 3.2</w:t>
      </w:r>
    </w:p>
    <w:p>
      <w:r>
        <w:t>Gemäss den unbestrittenen Feststellungen der Vorinstanz waren auf Konten der A._______ AG seit Februar 2018 von mindestens 459 verschie- denen Drittpersonen mindestens 578 Einzahlungen im Gesamtbetrag von umgerechnet rund Fr. 9.1 Mio. getätigt worden. Die Einzahlungen waren gemäss der Absicht dieser Drittpersonen für die C._______ LLC bestimmt gewesen, welche sie in Kryptowährungen hätte investieren sollen. Den An- legern stand dabei gegenüber der C._______ LLC ein vertraglich garan- tierter Rückzahlungsanspruch in Höhe der Einlage zuzüglich einer garan- tierten Verzinsung und weiterer Erträge zu. Auch die B._______ AG nahm zwischen Juli 2021 und Juli 2022 von mindestens 279 verschiedenen Dritt- personen mindestens 351 Einzahlungen im Gesamtbetrag von Fr. 244'558.23 und EUR 312'498.83 entgegen, welche in gleicher Weise und mit dem gleichen geschäftlichen Hintergrund für die C._______ LLC be- stimmt waren. Banktechnisch erfolgte keine Weiterleitung der Gelder an die C.______ LLC. Dagegen gingen bei der A._______ AG und der B._______ AG regel- mässige Zahlungen von insgesamt rund EUR 2.3 Mio. von der C._______ LLC ein. Verschiedene dieser Einzahlungen an die A._______ AG enthiel- ten den Zahlungsvermerk "SERVICE CONTRACT", doch konnte die A._______ AG keine schriftliche Vereinbarung für den behaupteten Auf- trag, für die C._______ AG die Software für eine Handelsplattform zu ent- wickeln und ihr zur Verfügung zu stellen, vorweisen. Die Untersuchungs- beauftragte konnte auch keine Anhaltspunkte feststellen dafür, dass die A._______ AG Lizenzen für Software verkaufte oder über entsprechendes Personal oder Subakkordanten für Programmierungsarbeiten verfügte. Die A._______ AG führte mindestens vier Investorenveranstaltungen im Zusammenhang mit C._______ LLC in der Schweiz durch. Aus den Einla- dungsunterlagen war ersichtlich, dass zumindest eine Veranstaltung von A._______ AG als "[…] Team Schweiz" durchgeführt wurde und der Be- schwerdeführer der Hauptredner war. Die A._______ AG vermittelte auch</w:t>
      </w:r>
    </w:p>
    <w:p>
      <w:r>
        <w:t>B-6850/2023 Seite 12 rund 200 bis 400 Kunden an C._______ LLC und erhielt dafür Vergütun- gen. Der Beschwerdeführer war Alleinaktionär der A._______ AG und ihr Ge- schäftsführer sowie bis 10. November 2021 Verwaltungsrat mit Einzelun- terschrift. Er war auch Mehrheitsaktionär der B._______ AG und einer ihrer Geschäftsführer. Die D._______ Gruppe wurde von ihm mitaufgebaut und er war jeweils zwischen 10% - 100% an der C._______ LLC beteiligt. Er erhielt von der C._______ LLC Zahlungen in Höhe von insgesamt über EUR 1.2 Mio. Diese Sachverhaltsfeststellungen der Vorinstanz werden, wie dargelegt, durch den Beschwerdeführer nicht bestritten.</w:t>
      </w:r>
    </w:p>
    <w:p>
      <w:r>
        <w:rPr>
          <w:b/>
        </w:rPr>
        <w:t>E. 3.3</w:t>
      </w:r>
    </w:p>
    <w:p>
      <w:r>
        <w:t>Angesichts des unbestrittenen Rückzahlungsanspruchs, der grossen Anzahl der Einleger, der mangelnden anderweitigen operativen Tätigkeit und der öffentlichen Werbung ist die Qualifikation der Tätigkeit als Entge- gennahme von Publikumseinlagen durch die Vorinstanz offensichtlich zu- treffend. Nicht zu beanstanden ist auch, dass die Vorinstanz angesichts der engen personellen, organisatorischen und wirtschaftlichen Verflechtungen zwi- schen der A._______ AG, der B._______ AG und der C._______ LLC, ihrer arbeitsteiligen Zusammenarbeit im Hinblick auf die Entgegennahme der Publikumseinlagen sowie der zumindest zeitweiligen Beherrschung aller drei Gesellschaften durch den Beschwerdeführer von einer Gruppe aus- geht, an deren Tätigkeit der Beschwerdeführer einen massgeblichen Bei- trag geleistet hat.</w:t>
      </w:r>
    </w:p>
    <w:p>
      <w:r>
        <w:rPr>
          <w:b/>
        </w:rPr>
        <w:t>E. 4</w:t>
      </w:r>
    </w:p>
    <w:p>
      <w:r>
        <w:t>Der Beschwerdeführer beantragt, die Dispositiv-Ziffern betreffend die Un- terlassungsanweisung (Disp.-Ziff. 3), inklusive die damit verknüpfte Straf- androhung (Disp.-Ziff. 4), sowie die Veröffentlichung der Unterlassungsan- weisung auf der Internetseite der Vorinstanz während fünf Jahren (Disp.- Ziff. 5) seien aufzuheben. Er führt aus, eine schwere Verletzung aufsichtsrechtlicher Bestimmungen werde vom Bundesgericht dann angenommen, wenn Personen ohne Be- willigungen von mehreren Investoren Hunderttausende oder Millionen Franken entgegengenommen und nicht zurückbezahlt hätten. Darüber hin- aus erachte das Bundesgericht Publikationen als zulässig, welche nur für den Fall vorgesehen seien, dass der Betroffene erneut gegen ein</w:t>
      </w:r>
    </w:p>
    <w:p>
      <w:r>
        <w:t>B-6850/2023 Seite 13 ausdrückliches Werbeverbot zuwiderhandeln würde. Es sei daher auch eine konkrete Gefahr erforderlich, dass die betroffene Person erneut in schwerer Weise gegen aufsichtsrechtliche Bestimmungen verstossen würde. Eine konkrete Wiederholungsgefahr bestehe aber nicht. Die Vo- rinstanz umschreibe nicht, inwiefern der Beschwerdeführer Gefahr laufen würde, erneut schwer gegen finanzmarktrechtliche Pflichten zu verstossen. Sie weise nur darauf hin, dass nicht ausgeschlossen werden könne, dass er weiterhin oder künftig wieder für die C._______ LLC tätig sei oder tätig werden könne. Mangels eines Nachweises einer konkreten Beteiligung an Nachfolgeprojekten fehle es an der Gefährdung von Anlegerinteressen. Er sei zudem (nur) zwischen August und Dezember 2022 Director und Owner der C._______ LLC gewesen und nun seit rund einem Jahr nicht mehr. Die Vorinstanz verweise lediglich auf die Internetseite der C._______ LLC. Auf dieser sei aber weder ersichtlich, dass eine Tätigkeit ausgeführt werde, noch dass der Beschwerdeführer in irgendeiner Art daran beteiligt wäre oder mitwirken würde. Die Vorinstanz führe in der angefochtenen Verfü- gung aus, es gehe insbesondere darum, weitere Schädigungen zu verhin- dern. Sie impliziere damit, dass es bereits zu einer Schädigung gekommen sei, was eben gerade nicht belegt sei. Damit fehle es eindeutig an einem Kriterium, um die Entgegennahme von Publikumseinlagen ohne Bewilli- gung als schwer qualifizieren zu können. Die Entgegennahme von Geldern allein reiche laut dem Bundesgericht nicht aus, vielmehr müssten diese auch nicht wieder zurückbezahlt worden sein. Die eingegangenen Rück- meldungen der Investoren würden aber aufzeigen, dass es zu Rückzah- lungen gekommen sei. Hinweise auf nicht erfolgte Rückzahlungen lägen dagegen nicht vor. Die Verletzung der Auskunfts- und Mitwirkungspflicht allein könne im Verwaltungsverfahren nicht schwer wiegen, weil die Pflicht zur Selbstbelastung für den Betroffenen massive Nachteile in einem allfäl- ligen späteren Strafverfahren betreffend denselben Lebenssachverhalt mit sich bringen könne. Die Vorinstanz begründete die Veröffentlichung der Unterlassungsanwei- sung gegenüber dem Beschwerdeführer in erster Linie damit, dass die Vor- nahme einer bewilligungspflichtigen Tätigkeit ohne die notwendige Bewilli- gung praktisch immer eine schwere Verletzung von Aufsichtsbestimmun- gen darstelle und sowohl bei vorsätzlicher als auch fahrlässiger Begehung strafbar sei. Bei Vorliegen einer entsprechenden schweren Verletzung ge- gen die Finanzmarktgesetze berücksichtige und würdige sie in einer Ein- zel- und Gesamtbetrachtung insbesondere die Aspekte der Tragweite der unerlaubten Tätigkeit, das Verhalten der unerlaubt tätigen</w:t>
      </w:r>
    </w:p>
    <w:p>
      <w:r>
        <w:t>B-6850/2023 Seite 14 Finanzmarktanbieter sowie das Schutzbedürfnis der Anleger. Das Beste- hen einer konkreten Wiederholungsgefahr sei nicht unbedingt notwendig.</w:t>
      </w:r>
    </w:p>
    <w:p>
      <w:r>
        <w:rPr>
          <w:b/>
        </w:rPr>
        <w:t>E. 4.1</w:t>
      </w:r>
    </w:p>
    <w:p>
      <w:r>
        <w:t>Das Verbot der Ausübung einer bewilligungspflichtigen Tätigkeit ohne Bewilligung und der entsprechenden Werbung gilt bereits von Gesetzes wegen. Soweit die Vorinstanz gegenüber dem Beschwerdeführer eine ent- sprechende Unterlassungsanweisung verfügt hat, wird ihm lediglich in Er- innerung gerufen, was bereits von Gesetzes wegen gilt. Gemäss ständiger Rechtsprechung des Bundesgerichts und des Bundesverwaltungsgerichts handelt es sich dabei nicht um eine eigenständige Massnahme, sondern lediglich um eine Warnung beziehungsweise Ermahnung. Das Bundesge- richt erachtet eine derartige Unterlassungsanweisung gegenüber den ver- antwortlichen Organen einer juristischen Person, bezüglich welcher rechts- kräftig festgestellt worden ist, dass sie unbewilligt einer nach einem Finanz- marktgesetz bewilligungspflichten Tätigkeit nachgegangen ist, als reine "Reflexwirkung" dieser illegalen Aktivität (BGE 135 II 356 E. 5.1 m.H.). Die Anforderungen an die Anordnung eines derartigen Verbots sind daher ge- ring (Urteile des BVGer B-5793/2018 vom 7. Juli 2020 E. 6.1; B-5688/2016 vom 6. November 2018 E. 6 und B-2723/2011 vom 24. April 2012 E. 7).</w:t>
      </w:r>
    </w:p>
    <w:p>
      <w:r>
        <w:rPr>
          <w:b/>
        </w:rPr>
        <w:t>E. 4.2</w:t>
      </w:r>
    </w:p>
    <w:p>
      <w:r>
        <w:t>Wie bereits dargelegt, ist nicht zu beanstanden, dass die Vorinstanz davon ausging, der Beschwerdeführer habe einen massgeblichen Beitrag zur unbewilligten Tätigkeit der A._______ AG, der B._______ AG und der C._______ LLC geleistet. Damit bestand ein ausreichender Grund, um ihm gegenüber förmlich eine derartige Unterlassungsanweisung zu erlassen und auf die damit verknüpfte Strafandrohung hinzuweisen.</w:t>
      </w:r>
    </w:p>
    <w:p>
      <w:r>
        <w:rPr>
          <w:b/>
        </w:rPr>
        <w:t>E. 4.3</w:t>
      </w:r>
    </w:p>
    <w:p>
      <w:r>
        <w:t>Liegt eine schwere Verletzung aufsichtsrechtlicher Bestimmungen vor, kann die Vorinstanz ihre Endverfügung nach Eintritt der Rechtskraft unter Angabe von Personendaten in elektronischer oder gedruckter Form veröf- fentlichen (Art. 34 Abs. 1 FINMAG). Die Veröffentlichung einer aufsichts- rechtlichen Verfügung nach Art. 34 Abs. 1 FINMAG – sogenanntes "naming and shaming" – ist eine repressive verwaltungsrechtliche Sanktion und eine präventive Massnahme zum Schutz des Publikums (BGE 147 I 57 E. 4.2 m.H.; Urteil des BGer 2C_729/2020 vom 5. August 2021 E. 6.2). Die Massnahme der Publikationsanordnung setzt eine Verletzung aufsichts- rechtlicher Bestimmungen von einer gewissen Schwere voraus und muss im Einzelfall verhältnismässig sein. Eine einmalige, punktuelle und unter- geordnete Verletzung finanzmarktrechtlicher Pflichten genügt hierfür nicht. Mit der Voraussetzung, dass die FINMA nur in Fällen schwerer Verletzun- gen eine aufsichtsrechtliche Verfügung veröffentlichen kann, hat der</w:t>
      </w:r>
    </w:p>
    <w:p>
      <w:r>
        <w:t>B-6850/2023 Seite 15 Gesetzgeber insbesondere den Verhältnismässigkeitsgrundsatz verankert. Die Regelungszwecke des Finanzmarktgesetzes – die Gewährleistung des Schutzes der Gläubigerinnen und Gläubiger, der Anlegerinnen und Anleger und der Versicherten (Individualschutz) einerseits sowie die Sicherstellung der Funktionsfähigkeit der Finanzmärkte (Funktionsschutz) andererseits (vgl. Art. 4 FINMAG) – müssen die Publikation rechtfertigen und die der betroffenen Person daraus entstehenden Nachteile in ihrem wirtschaftli- chen Fortkommen mit Blick auf die Schwere der aufsichtsrechtlichen Ver- letzung überwiegen (vgl. Urteile des BGer 2C_726/2020 vom 5. August 2021 E. 6.2 und 2C_220/2020 vom 15. Juni 2020 E. 4.2.2). Der weitaus häufigste Anwendungsfall in der Praxis ist die Publikation rechtskräftig verfügter Unterlassungsanweisungen gegenüber Personen, welche ohne Bewilligung eine bewilligungspflichtige Tätigkeit ausgeübt ha- ben (CHRISTOPH KUHN, in: Zulauf/Wyss [Hrsg.], Finanzmarktenforcement, 3. Aufl. 2022, S. 386). Dabei wird nach der bundesgerichtlichen Rechtspre- chung bei einer unerlaubten Vornahme einer bewilligungspflichtigen Tätig- keit regelmässig bereits schon von der Sache her von einer gewissen Schwere der Verletzung ausgegangen, die zum Schutz des Publikums eine Veröffentlichung grundsätzlich rechtfertigt, sofern eine Wiederholungsge- fahr nicht ausgeschlossen werden kann (Urteile des BGer 2C_122/2014 vom 19. Juli 2014 E. 6.1 und 2C_30/2011 vom 12. Januar 2012 E. 5.2.2). Die Umstände des Einzelfalles, wie etwa eine bloss untergeordnete Impli- kation oder besondere Umstände, die darauf hinweisen, dass es künftig zu keiner weiteren Verletzung finanzmarktrechtlicher Pflichten kommen wird ("tätige Reue") sind in Anwendung des Opportunitätsprinzips und der Ver- hältnismässigkeit zu berücksichtigen und könnten einer Publikation allen- falls entgegenstehen (Urteile des BGer 2C_359/2012 vom 1. November 2012 E. 3.2; 2C_71/2011 vom 26. Januar 2012 E. 5.3; 2C_30/2011 vom 12. Januar 2012 E. 5.2.2 und 2C_929/2010 vom 13. April 2011 E. 5.2.1).</w:t>
      </w:r>
    </w:p>
    <w:p>
      <w:r>
        <w:rPr>
          <w:b/>
        </w:rPr>
        <w:t>E. 4.4</w:t>
      </w:r>
    </w:p>
    <w:p>
      <w:r>
        <w:t>Mit der Vorinstanz ist davon auszugehen, dass bereits aufgrund seines massgeblichen Beitrags zur unbewilligten Tätigkeit von einer schweren Verletzung aufsichtsrechtlicher Bestimmungen durch den Beschwerdefüh- rer auszugehen ist.</w:t>
      </w:r>
    </w:p>
    <w:p>
      <w:r>
        <w:rPr>
          <w:b/>
        </w:rPr>
        <w:t>E. 4.5</w:t>
      </w:r>
    </w:p>
    <w:p>
      <w:r>
        <w:t>Entgegen der Annahme des Beschwerdeführers ist es an sich nicht er- forderlich, dass die Vorinstanz ihm zusätzlich nachweist, dass den gutgläu- bigen Anlegern durch die unbewilligte Tätigkeit ein grosser Schaden ent- standen ist. Im konkreten Fall ergibt sich indessen aus den unbestrittenen sachverhaltlichen Feststellungen der Vorinstanz und der</w:t>
      </w:r>
    </w:p>
    <w:p>
      <w:r>
        <w:t>B-6850/2023 Seite 16 Untersuchungsbeauftragten, dass die Einzahlungen der Anleger nicht an die C._______ LLC weitergeleitet wurden, sondern bei der A._______ AG und der B._______ AG verblieben. Anhaltspunkte für eine operative oder Investitionstätigkeit der A._______ AG, der B._______ AG oder der C._______ LLC, welche einen Ertrag hätte generieren können, konnte die Untersuchungsbeauftragte nicht feststellen und hat der Beschwerdeführer auch im vorliegenden Rechtsmittelverfahren nicht dargetan. Dass erste An- leger ihr Kapital samt der versprochenen Rendite ausbezahlt erhalten, wie dies offenbar geschah, ist für ein derartiges Ponzi-System typisch, da damit das Vertrauen der bisherigen und der Neukunden gefördert wird. Erzielt die Gruppe aber keine eigentlichen Erträge, so können solche Auszahlungen nur finanziert werden, indem die Einzahlungen anderer Anleger dafür ver- wendet werden. Letztlich muss eine derartige Geschäftstätigkeit, die sich auf die Entgegennahme von Kapital gegen Rückzahlungs- und Zinsver- sprechen beschränkt und der keine ertragsgenerierende operative oder Anlagetätigkeit gegenübersteht, notwendigerweise ein Verlustgeschäft sein, bei dem die allermeisten Einleger ihr einbezahltes Kapital verlieren. Es ist denn auch aktenkundig und unbestritten, dass über die A._______ AG aufgrund einer Überschuldung im Betrag von mehr als Fr. 8 Mio. der Konkurs eröffnet wurde. Auch über die B._______ AG wurde aufgrund ei- ner Überschuldung in Höhe von gut Fr. 300'000.– der Konkurs eröffnet und zwischenzeitlich mangels Aktiven wieder eingestellt. Unter diesen Umstän- den erscheint die Behauptung des Beschwerdeführers, den Einlegern sei kein Schaden entstanden, als nicht nachvollziehbar.</w:t>
      </w:r>
    </w:p>
    <w:p>
      <w:r>
        <w:rPr>
          <w:b/>
        </w:rPr>
        <w:t>E. 4.6</w:t>
      </w:r>
    </w:p>
    <w:p>
      <w:r>
        <w:t>Wie bereits dargelegt, obliegt es gemäss ständiger Rechtsprechung nicht der Vorinstanz, im Fall einer unerlaubten Vornahme einer bewilli- gungspflichtigen Tätigkeit konkrete Anhaltspunkte für eine Wiederholungs- gefahr aufzuzeigen. Vielmehr müssten im Einzelfall besondere Umstände vorliegen, die darauf hinweisen, dass es künftig nicht zu einer weiteren Verletzung finanzmarktrechtlicher Pflichten kommen wird, wie etwa eine bloss untergeordnete Implikation des Betroffenen, Unkenntnis der Rechts- widrigkeit, "tätige Reue" oder wenn der Betroffene die Unterlassungsan- weisung durch Selbstanzeige und Kooperation im Verfahren veranlasst hat (Urteile des BGer 2C_122/2014 vom 19. Juli 2014 E. 6.1 und 2C_30/2011 vom 12. Januar 2012 E. 5.2.2). Derartige Umstände, die gegen eine Wie- derholungsgefahr sprechen würden, sind im vorliegenden Fall nicht er- sichtlich.</w:t>
      </w:r>
    </w:p>
    <w:p>
      <w:r>
        <w:rPr>
          <w:b/>
        </w:rPr>
        <w:t>E. 4.7</w:t>
      </w:r>
    </w:p>
    <w:p>
      <w:r>
        <w:t>Liegen hinreichend konkrete Anhaltspunkte dafür vor, dass ein Unter- nehmen ohne Bewilligung eine bewilligungspflichtige Banktätigkeit ausübt,</w:t>
      </w:r>
    </w:p>
    <w:p>
      <w:r>
        <w:t>B-6850/2023 Seite 17 so ist die FINMA nach der bundesgerichtlichen Rechtsprechung berechtigt und verpflichtet, die für die weiteren Abklärungen erforderlichen Informati- onen einzuholen (BGE 132 II 383 E. 4.2; 131 II 306 E. 3.1.2). Insoweit un- terliegt ein Unternehmen den Vorschriften des Bankengesetzes und des Finanzmarktaufsichtsgesetzes auch dann, wenn die Unterstellungs- bezie- hungsweise Bewilligungspflicht strittig ist (BGE 136 II 43 E. 3.1; 132 II 383 E. 4.2; 131 II 306 E. 3.1.2). Die gesetzlichen Auskunfts- und Mitwirkungs- pflichten nach Art. 29 FINMAG müssen sich somit für die Untersuchung der Unterstellungspflicht auch auf Unternehmen beziehen, die auf Grund der Umstände dem BankG möglicherweise unterstehen könnten (BGE 136 II 43 E. 3.1 m.w.H.). Diese Verpflichtung besteht grundsätzlich auch dann, wenn sich der Betroffene selbst belasten muss (BGE 132 II 113 E. 3.2). Die FINMA kann eine ungenügende Mitwirkung auch zu Ungunsten der ver- pflichteten Partei würdigen (Urteil des BGer 2C_790/2019 vom 14. Sep- tember 2020 E. 7.2 m.w.H.; CHRISTOPH KUHN, a.a.O., S. 427). Aktenkundig und unbestritten ist, dass der Beschwerdeführer sich während des vorinstanzlichen Verfahrens geweigert hat, Fragen der Untersu- chungsbeauftragten zu beantworten. Wenn die Vorinstanz unter diesen Umständen feststellt, er habe während des vorinstanzlichen Verfahrens seine Mitwirkungspflichten verletzt, ist das daher zutreffend. Sie durfte das Schweigen des Beschwerdeführers zu Recht auch zu seinen Ungunsten berücksichtigen.</w:t>
      </w:r>
    </w:p>
    <w:p>
      <w:r>
        <w:rPr>
          <w:b/>
        </w:rPr>
        <w:t>E. 4.8</w:t>
      </w:r>
    </w:p>
    <w:p>
      <w:r>
        <w:t>Der Beschwerdeführer rügt, die Vorinstanz habe die verfügte Publika- tionsdauer von fünf Jahren nicht näher begründet. Diese Dauer sei nicht verhältnismässig. Mit der Publikation der Unterlassungsanweisung im In- ternet werde er öffentlich und wohl unbefristet an den Pranger gestellt. Auch wenn die Publikation nach fünf Jahren wieder von der Internetseite gelöscht werde, sei dies einerseits genügend Zeit, um von einer Vielzahl von Leuten zur Kenntnis genommen zu werden, andererseits sei es noto- risch, dass das Internet nicht vergesse und Informationen auch nach Lö- schen der Primärquellen noch weiter über die gängigen Suchmaschinen auffindbar seien. Dem Beschwerdeführer würde es durch die Veröffentli- chung faktisch unmöglich, Investoren und Businesspartner zu finden. Er würde jegliches Vertrauen schlagartig verlieren. Die Publikation habe so- wohl gegenüber möglichen Partnern als auch Banken oder anderen Finanzinstituten massive Folgen. Schon nur die Weiterführung oder Eröff- nung einer Bankbeziehung wäre für ihn schwierig oder gar unmöglich. Er führe aktuell zwei Unternehmen, die nicht im Finanzmarktbereich angesie- delt seien. Zum einen sei er Mitglied des Verwaltungsrats der G._______</w:t>
      </w:r>
    </w:p>
    <w:p>
      <w:r>
        <w:t>B-6850/2023 Seite 18 AG, die insbesondere in der Unternehmensberatung und im Online-Marke- ting tätig sei. Zum anderen sei er Geschäftsführer und Gesellschafter der H._______ GmbH, die sich noch im Aufbau befinde. Diese verfolge insbe- sondere den Zweck der Entwicklung, des Vertriebs und Verleihs von Virtual und Augmented Reality Systemen. Er sei bei seinen Unternehmungen be- sonders auch auf Online-Kanäle angewiesen, sodass eine Online-Publika- tion besonders einschneidende Konsequenzen für ihn hätte. Bislang sei er bei keiner Finanzmarktaufsicht aufgefallen und er weise auch keine Vor- strafen auf. Die Publikation der Unterlassungsanweisung sei daher aufzu- heben, eventualiter rechtfertige sich eine Publikationsdauer von höchstens zwei Jahren, da er bisher weder aufsichtsrechtlich noch strafrechtlich in Erscheinung getreten sei.</w:t>
      </w:r>
    </w:p>
    <w:p>
      <w:r>
        <w:rPr>
          <w:b/>
        </w:rPr>
        <w:t>E. 4.8.1</w:t>
      </w:r>
    </w:p>
    <w:p>
      <w:r>
        <w:t>Die Vorinstanz begründete die Bemessung der Publikationsdauer von fünf Jahren ausführlich. Sie führte aus, die A._______ AG und die B._______ AG hätten in einem Zeitraum von über vier Jahren von mehr als 700 Drittpersonen Einzahlungen im Gesamtbetrag von über Fr. 9.6 Mio. entgegengenommen. Es handle sich somit nicht um eine einmalige, punk- tuelle und untergeordnete Verletzung finanzmarktrechtlicher Pflichten, son- dern um eine kontinuierliche bzw. wiederholte Verletzung derselben in er- heblichem Umfang. Der Beschwerdeführer sei hauptverantwortlich für die unerlaubte Tätigkeit gewesen und habe auch erheblich davon profitiert. Aufgrund der konkreten Ausgestaltung der Gruppe (juristischer Sitz in Ge- orgien, Bankkonto in Litauen) und den falschen Angaben gegenüber den Banken müsse davon ausgegangen werden, dass er eine Verletzung des Aufsichtsrecht zumindest bewusst in Kauf genommen habe. Neben seiner unerlaubten Tätigkeit habe er auch seine Auskunfts- und Mitwirkungspflicht im Rahmen der Untersuchung verletzt. Die unerlaubte Tätigkeit des Be- schwerdeführers im dargestellten Umfang sei deshalb als schwere Verlet- zung von aufsichtsrechtlichen Bestimmungen zu qualifizieren. C._______ LLC sei nach wie vor aktiv und es könne nicht ausgeschlossen werden, dass der Beschwerdeführer weiterhin oder künftig wieder für diese tätig sei oder werde. Aus aufsichtsrechtlicher Sicht bestehe die Gefahr, dass er die von ihm ausgeübte Tätigkeit auf dem Finanzmarkt in anderer Form und möglicherweis im Namen einer anderen Gesellschaft erneut wieder auf- nehmen könnte und dadurch weitere Anleger geschädigt werden könnten. Das öffentliche Interesse, potentielle Anleger vor unerlaubtem Tätigwerden des Beschwerdeführers zu warnen, und damit weitere Schädigungen zu verhindern, wiege folglich schwer.</w:t>
      </w:r>
    </w:p>
    <w:p>
      <w:r>
        <w:t>B-6850/2023 Seite 19</w:t>
      </w:r>
    </w:p>
    <w:p>
      <w:r>
        <w:rPr>
          <w:b/>
        </w:rPr>
        <w:t>E. 4.8.2</w:t>
      </w:r>
    </w:p>
    <w:p>
      <w:r>
        <w:t>Die Rüge des Beschwerdeführers, die Vorinstanz habe die Dauer der Publikation nicht näher begründet, erweist sich daher als offensichtlich un- begründet.</w:t>
      </w:r>
    </w:p>
    <w:p>
      <w:r>
        <w:rPr>
          <w:b/>
        </w:rPr>
        <w:t>E. 4.8.3</w:t>
      </w:r>
    </w:p>
    <w:p>
      <w:r>
        <w:t>Die Sachverhaltselemente, die die Vorinstanz für die Bemessung der Publikationsdauer herangezogen hat, sind aktenkundig und im Wesentli- chen auch nicht bestritten. Der Beschwerdeführer vertritt bloss eine andere Auffassung bezüglich der rechtlichen Würdigung dieser Sachverhaltsele- mente. Angesichts des bisher Gesagten ist die Würdigung durch die Vorinstanz indessen nicht zu beanstanden: Die A._______ AG und nach ihr die B._______ AG gingen während mehrerer Jahre einer unbewilligten Tätigkeit nach und nahmen Publikumseinlagen im Gesamtbetrag von weit über Fr. 9 Mio. entgegen. Angesichts dessen, dass die A._______ AG um mehr als Fr. 8 Mio. und die B._______ AG um gut Fr. 300'000.– überschul- det waren, als über sie der Konkurs eröffnet wurde, ist davon auszugehen, dass für die Einleger ein Schaden in mehrfacher Millionenhöhe entstanden ist. Mit der Vorinstanz ist daher davon auszugehen, dass es sich nicht um eine einmalige, punktuelle und untergeordnete Verletzung finanzmarkt- rechtlicher Pflichten, sondern um einen vergleichsweise schwerwiegenden Fall handelt. Aufgrund seiner beherrschenden Stellung in der A._______ AG und in der B._______ AG, sowie mindestens zeitweise auch in der C._______ LLC trägt der Beschwerdeführer die Hauptverantwortung für diese Tätigkeit.</w:t>
      </w:r>
    </w:p>
    <w:p>
      <w:r>
        <w:rPr>
          <w:b/>
        </w:rPr>
        <w:t>E. 4.8.4</w:t>
      </w:r>
    </w:p>
    <w:p>
      <w:r>
        <w:t>Die Dauer der Publikationsanordnung von fünf Jahren ist daher nicht zu beanstanden.</w:t>
      </w:r>
    </w:p>
    <w:p>
      <w:r>
        <w:rPr>
          <w:b/>
        </w:rPr>
        <w:t>E. 5</w:t>
      </w:r>
    </w:p>
    <w:p>
      <w:r>
        <w:t>Im Ergebnis erweist sich die Beschwerde als unbegründet und ist sowohl im Haupt- wie auch im Eventualbegehren abzuweisen.</w:t>
      </w:r>
    </w:p>
    <w:p>
      <w:r>
        <w:rPr>
          <w:b/>
        </w:rPr>
        <w:t>E. 6</w:t>
      </w:r>
    </w:p>
    <w:p>
      <w:r>
        <w:t>Entsprechend dem Verfahrensausgang hat der unterliegende Beschwer- deführer die Verfahrenskosten zu tragen (Art. 63 Abs. 1 VwVG sowie Art. 1 ff. des Reglements vom 21. Februar 2008 über die Kosten und Ent- schädigungen vor dem Bundesverwaltungsgericht [VGKE, SR 173.320.2]).</w:t>
      </w:r>
    </w:p>
    <w:p>
      <w:r>
        <w:rPr>
          <w:b/>
        </w:rPr>
        <w:t>E. 7</w:t>
      </w:r>
    </w:p>
    <w:p>
      <w:r>
        <w:t>Ausgangsgemäss ist keine Parteientschädigung zuzusprechen (Art. 64 Abs. 1 VwVG i.V.m. Art. 7 Abs. 1 VGKE).</w:t>
      </w:r>
    </w:p>
    <w:p>
      <w:r>
        <w:t>B-6850/2023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