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B-684/2017 vom 13. März 2018</w:t>
      </w:r>
    </w:p>
    <w:p>
      <w:r>
        <w:t>Bundesverwaltungsgericht, 2018-03-13, DE</w:t>
      </w:r>
    </w:p>
    <w:p>
      <w:r>
        <w:rPr>
          <w:b/>
        </w:rPr>
        <w:t xml:space="preserve">Quelle: </w:t>
      </w:r>
      <w:r>
        <w:t>https://mcp.opencaselaw.ch/entscheid/bvger_B-684_2017</w:t>
      </w:r>
    </w:p>
    <w:p>
      <w:r>
        <w:t>FR: TAF B-684/2017 du 13 mars 2018</w:t>
      </w:r>
    </w:p>
    <w:p>
      <w:r>
        <w:t>IT: TAF B-684/2017 del 13 marzo 2018</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Widerspruchsgegnerin am vorinstanzlichen Verfahren teilgenommen und ist durch die angefochtene Verfügung besonders berührt und beschwert, weshalb sie zur Beschwerde legitimiert ist (Art. 48 Abs. 1 des Verwaltungsverfahrensgesetzes vom 20. Dezember 1968, VwVG, SR 172.021). Da die Beschwerde im Übrigen frist- und formgerecht erhoben (Art. 50 Abs. 1 Art, 52 Abs. 1 VwVG) und der Kostenvorschuss rechtzeitig geleistet wurde (Art. 63 Abs. 4 VwVG), ist auf die Beschwerde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441 E. 3.1 "Appenzeller"; 128 III 96 E. 2c "Orfina"). Dabei sind die Aufmerksamkeit der massgebenden Verkehrskreise und die Kennzeichnungskraft der Widerspruchsmarke zu berücksichtigen (BGE 121 III 377 E. 2a "Boss/Boks"; Urteil des BVGer B-531/2013 vom 21. Oktober 2013 E. 2.1 "Gallo/Gallay [fig.]").</w:t>
      </w:r>
    </w:p>
    <w:p>
      <w:r>
        <w:rPr>
          <w:b/>
        </w:rPr>
        <w:t>E. 2.2</w:t>
      </w:r>
    </w:p>
    <w:p>
      <w:r>
        <w:t>Die Gleichartigkeit der Waren und Dienstleistungen beurteilt sich anhand der Einträge im Markenregister, soweit aufgrund einer Nichtgebrauchseinrede keine Einschränkung gegeben ist (Urteile des BVGer B-2354/2016 vom 29. März 2017 E. 3.2.1 "ALLIANZ/ALLIANZ TGA Technische Gebäudeausrüstung [fig.]"; B-531/2013 E. 2.2 "Gallo/Gallay [fig.]", je mit Hinweisen). Für die Annahme gleichartiger Waren und Dienstleistungen sprechen damit eine einheitliche Wertschöpfungskette, ein sinnvolles Leistungspaket als marktlogische Folge, die marktübliche Verknüpfung oder enge Zusammengehörigkeit der Produkte mit gleichen Abnehmerkreisen und Vertriebsstätten (Urteile des BVGer B-2354/2016 E. 3.2.1 "ALLIANZ/ALLIANZ TGA Technische Gebäudeausrüstung [fig.]"; B-2269/2011 vom 9. März 2012 E. 6.5.1 "Bonewelding [fig.]"). Zwischen Dienstleistungen besteht Gleichartigkeit, wenn der Eindruck einer einheitlichen "Organisationsverantwortung" für die verschiedenen Angebote und eines wirtschaftlich sinnvollen "Leistungspakets" geschaffen wird (vgl. hierzu und zum Folgenden: Urteile des BVGer B-2354/2016 E. 3.2.2 "ALLIANZ/ALLIANZ TGA Technische Gebäudeausrüstung [fig.]"; B-7503/2006 vom 11. Mai 2007 E. 3 ff. "Absolut und Absolutbar/Absolute Poker bzw. Absolute Poker.com [fig.]" mit zahlreichen Hinweisen).</w:t>
      </w:r>
    </w:p>
    <w:p>
      <w:r>
        <w:rPr>
          <w:b/>
        </w:rPr>
        <w:t>E. 2.3</w:t>
      </w:r>
    </w:p>
    <w:p>
      <w:r>
        <w:t>Für die Beurteilung der Zeichenähnlichkeit wird auf den Gesamteindruck, den die Marken in der Erinnerung der angesprochenen Verkehrskreise hinterlassen, abgestellt (BGE 128 III 441 E. 3.1 "Appenzeller"; 121 III 377 E. 2a "Boss/Boks"). Dabei kommt dem Zeichenanfang in der Regel eine höhere Bedeutung zu, da er besser im Gedächtnis haften bleibt (BGE 127 III 160 E. 2b/cc "Securitas"; Urteile des BVGer B-3325/2010 vom 15. Dezember 2010 E. 4.5 "Bally/Tally"; B-6012/2008 vom 25. November 2009 E. 4.9 "Stenflex/Star Flex [fig.]"). Bei reinen Wortmarken sind der Wortklang, das Schriftbild und gegebenenfalls der Sinngehalt massgebend (BGE 127 III 160 E. 2b/cc "Securitas"; Urteil des BVGer B-2354/2016 E. 3.4 "ALLIANZ/ALLIANZ TGA Technische Gebäudeausrüstung [fig.]"). Die Übereinstimmung auf einer Ebene genügt in der Regel zur Annahme einer Zeichenähnlichkeit (Urteil des BVGer B-6732/2014 vom 20. Mai 2015 E. 2.3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"Radion/Radiomat").</w:t>
      </w:r>
    </w:p>
    <w:p>
      <w:r>
        <w:rPr>
          <w:b/>
        </w:rPr>
        <w:t>E. 2.4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B-2354/2016 E. 3.5 "ALLIANZ/ALLIANZ TGA Technische Gebäudeausrüstung [fig.]"; B-531/2013 E. 2.5 "Gallo/Gallay [fig.]").</w:t>
      </w:r>
    </w:p>
    <w:p>
      <w:r>
        <w:rPr>
          <w:b/>
        </w:rPr>
        <w:t>E. 2.5</w:t>
      </w:r>
    </w:p>
    <w:p>
      <w:r>
        <w:t>Eine starke Kennzeichnungskraft und ein hoher Bekanntheitsgrad einer Marke erhöhen die Wahrscheinlichkeit von Assoziationen und damit die Gefahr, dass die Abnehmer ähnliche Drittmarken missdeuten (BGE 128 III 441 E. 3.1 "Appenzeller"; Urteil des BVGer B 5179/2012 vom 20. Mai 2014 E. 3.5 "Tivo/Tivù Sat HD [fig.]"). Als stark gelten Marken, die entweder aufgrund ihres fantasiehaften Gehalts auffallen oder aber aufgrund ihres intensiven Gebrauchs überdurchschnittliche Bekanntheit geniessen (BGE 122 III 385 E. 2a "Kamillosan"; Urteil des BGer 4C.258/2004 vom 6. Oktober 2004 E. 2.2 "Yello / Yellow Access AG"). Es ist dem Markeninhaber überlassen, wie und durch wen er die Marke bekannt machen lässt. Markenbekanntheit setzt keine Prominenz des In-habers, sondern, wie die Verkehrsdurchsetzung nach Art. 2 Bst. a MSchG, ein von der einzelnen Gebrauchssituation gelöstes, abstrahiertes Wieder-erkennen des hinterlegten Zeichens als Marke bei den Verkehrskreisen vo-raus. Dieses lässt sich zwar in vielen Fällen nur durch Verkaufsstatistiken, Werbeaufwand oder eine bestimmte tatsächliche Gebrauchsweise glaub-haft dartun, bedarf aber über diesen tatbestandsmässigen Erfolg des Wie-dererkennens hinaus keines ergänzenden Nachweises besonderer Ver-dienste oder persönlicher Gebrauchshandlungen des Inhabers (Urteil des BVGer B-8240/2010 vom 27. Februar 2012 E. 2.5 "Aus der Region. Für die Region"). Wer sich auf die Bekanntheit einer Marke beruft, muss diese daher glaubhaft machen (Urteile des BVGer B-1139/2012 vom 21. August 2013 E. 2.5 "Küngsauna [fig.]/SAUNAKING"; B-5120/2011 vom 17. August 2012 E. 5.3.3 und 5.4 "Bec de fin bec [fig.]/Fin bec [fig.]").</w:t>
      </w:r>
    </w:p>
    <w:p>
      <w:r>
        <w:rPr>
          <w:b/>
        </w:rPr>
        <w:t>E. 2.6</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B-5440/2008 vom 24. Juli 2009 E. 6.2 "Jump [fig.]/Jumpman"; B-5477/2007 vom 28. Februar 2008 E. 6 "Regulat/H2O3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III 359 E. 2.5.5 "akustische Marke"; Urteil des BVGer B-283/2012 vom 13. Dezember 2012 E. 4.1 "Noblewood").</w:t>
      </w:r>
    </w:p>
    <w:p>
      <w:r>
        <w:rPr>
          <w:b/>
        </w:rPr>
        <w:t>E. 3.1</w:t>
      </w:r>
    </w:p>
    <w:p>
      <w:r>
        <w:t>Die Widerspruchsmarke wird unter anderem für Dienstleistungen der Klasse 35 und 36 beansprucht, die angefochtene Marke ebenfalls für Dienstleistungen der Klassen 35 und 36. Die von der Vorinstanz vertretene Auffassung, dass es sich dabei um gleiche respektive hochgradig gleichartige Dienstleistungen handelt, wird von den Parteien nicht bestritten und ist auch nicht zu beanstanden.</w:t>
      </w:r>
    </w:p>
    <w:p>
      <w:r>
        <w:rPr>
          <w:b/>
        </w:rPr>
        <w:t>E. 3.2</w:t>
      </w:r>
    </w:p>
    <w:p>
      <w:r>
        <w:t>Zur Bestimmung der massgeblichen Verkehrskreise ist vom Warenverzeichnis der Widerspruchsmarke auszugehen (Urteil des BVGer B-7202/2014 vom 1. September 2016 E. 5 "GEO/Geo influence"). Die von der Widerspruchsmarke beanspruchten Dienstleistungen der Klasse 36, namentlich Versicherungs- und Finanzwesen und Geldgeschäfte, richten sich an Fachleute der Finanz- und Versicherungsbranche, aber auch an das breite Publikum (vgl. Urteile des BVGer B-8242/2010 vom 22. Mai 2012 E. 3.2 "LOMBARD ODIER &amp; CIE./Lombard NETWORK [fig.]"; B-2125/2008 vom 15. Mai 2009 E. 3 "Total Trader"). Die Dienstleistung Werbung in Klasse 35 richtet sich in erster Linie an Personen, welche Werbung platzieren möchten und somit an ein Fachpublikum (Urteile des BVGer B-433/2013 vom 18. Februar 2014 E. 4.2 "METRO/METROPOOL"; B-1009/2010 vom 14. März 2011 E. 3.1 "Credit Suisse/UniCredit Suisse Bank [fig.]"). Auch die übrigen Dienstleistungen der Klasse 35 wie Marktforschung, Marketing, Büroarbeiten, Buchführung, Buchprüfung und Unternehmensverwaltung richten sich primär an ein Fachpublikum, insbesondere aus Handel und Gewerbe. Da die beanspruchten Dienstleistungen zudem keine des täglichen Bedarfs sind, ist die Einschätzung der Vorinstanz, dass diese mit erhöhter Aufmerksamkeit in Anspruch genommen werden, nicht zu beanstanden (vgl. Urteile des BVGer B-6426/2012 vom 20. Dezember 2013 E. 3.1 "VZ [fig.]/SVZ"; B-38, 39 + 40/2011 vom 29. April 2011 E. 8.1 "IKB/ICB [fig.], IKB/ICB, IKB/ICB BANKING GROUP"; B-7698/2008 vom 4. Dezember 2009 E. 5.2 "Etavis/Estavis").</w:t>
      </w:r>
    </w:p>
    <w:p>
      <w:r>
        <w:rPr>
          <w:b/>
        </w:rPr>
        <w:t>E. 4</w:t>
      </w:r>
    </w:p>
    <w:p>
      <w:r>
        <w:t>Im vorliegenden Fall stehen sich die reinen Wortmarken "QUANTEX" und "Quantum CapitalPartners" gegenüber.</w:t>
      </w:r>
    </w:p>
    <w:p>
      <w:r>
        <w:rPr>
          <w:b/>
        </w:rPr>
        <w:t>E. 4.1</w:t>
      </w:r>
    </w:p>
    <w:p>
      <w:r>
        <w:t>Die Vorinstanz hielt in der angefochtenen Verfügung fest, der Zeichenbestandteil "CapitalPartners" der angefochtenen Marke sei rein beschreibend und werde als blosser Zusatz zum Hauptelement "Quantum" wahrgenommen. Es sei daher davon auszugehen, dass sich das Publikum bezüglich der angefochtenen Marke in erster Linie am Begriff "Quantum" orientieren werde. Die Widerspruchsmarke "QUANTEX" und der Zeichenbestandteil "Quantum" der angefochtenen Marke stimmten in den ersten vier Buchstaben überein und seien zweisilbig. Ähnlichkeiten bestünden auch bei der Konsonantenfolge. Daraus resultiere - trotz unterschiedlicher Endung - eine diesbezügliche Ähnlichkeit im Klang- und Schriftbild der Zeichen. Da beide Zeichen mit "Quant" eine Angabe enthielten, welche auf eine (bestimmte) Menge/Quantität hinweise, bestünden auch Ähnlichkeiten auf der Sinngehaltsebene. Die Beschwerdeführerin rügt, ihre Marke dürfe nicht auf den Begriff "Quantum" reduziert werden. Der Zusatz "CapitalPartners" sei nicht einfach als zusätzlicher Bestandteil zum kennzeichnenden Hauptelement einer bestehenden Marke - hier "QUANTEX" - hinzugefügt worden. Vielmehr sei "CapitalPartners" als gleichwertiger Namens-Bestandteil der neuen, anderslautenden Marke "Quantum CapitalPartners" zu betrachten. Gerade auf Grund der Schreibweise von "CapitalPartners" liege der Fokus, wenn nicht auf der ganzen Marke, dann auf dem zweiten Wort der Marke, eben "CapitalPartners". Dieser Markenbestandteil - und eben nicht der Bestandteil "Quantum" - zeige gerade die Kernkompetenz der Beschwerdeführerin auf, welche im Investmentbereich liege. Beim Aussprechen von "QUANTEX" werde die Endung nicht weggelassen, da "Quant" alleine viel zu allgemein sei, als dass man damit überhaupt eine konkrete Marke assoziieren würde. Und genau in den Schlusssilben unterscheide sich die angegriffene Marke vom Widerspruchszeichen in bildlicher und phonetischer Hinsicht. Die Beschwerdegegnerin geht von einer erheblichen Zeichenähnlichkeit auf klang- und schriftbildlicher Ebene aus, da die Vergleichszeichen über den identischen Stamm "Quant" am Wortanfang verfügten. An diesem Umstand ändere auch das Hinzufügen der Wörter "CapitalPartners" zur angefochtenen Marke nichts. Die Beschwerdeführerin lege gleich selber dar, dass der Zusatz "CapitalPartners" als Hinweis auf die Natur der angebotenen Dienstleistungen verstanden werde. Entsprechend sei der Bestandteil "CapitalPartners" im Zusammenhang mit den beanspruchten Dienstleistungen rein beschreibend, weshalb er den Gesamteindruck nicht massgeblich beeinflusse. Damit übernehme die angefochtene Marke die Widerspruchsmarke in leicht abgeänderter Form.</w:t>
      </w:r>
    </w:p>
    <w:p>
      <w:r>
        <w:rPr>
          <w:b/>
        </w:rPr>
        <w:t>E. 4.2</w:t>
      </w:r>
    </w:p>
    <w:p>
      <w:r>
        <w:t>Die Zeichen "QUANTEX" und "Quantum CapitalPartners" stimmen im Zeichenanfang "Quant-" und damit in den ersten fünf Buchstaben überein. Unterschiede bestehen dagegen in der Endung des "Quant" enthaltenden Wortes, d.h. "-EX" bei der Widerspruchsmarke und "-um" bei der angegriffenen Marke, sowie beim Zusatz "CapitalPartners" bei der angefochtenen Marke.</w:t>
      </w:r>
    </w:p>
    <w:p>
      <w:r>
        <w:rPr>
          <w:b/>
        </w:rPr>
        <w:t>E. 4.2.1</w:t>
      </w:r>
    </w:p>
    <w:p>
      <w:r>
        <w:t>Das gemeinsame Anfangselement "Quant" bedeutet "kleinstmöglicher Wert einer physikalischen Grösse" (vgl. Duden online). Das Wort stammt vom lateinischen "Quantum", was "bestimmte (jemandem, einer Sache zukommende) Menge" heisst (vgl. Duden online). "Quantum" wird auch in der Alltagssprache im Sinne von Menge / Ration gebraucht, z.B. "das tägliche Quantum Kaffee" oder "ein Quantum Humor" (vgl. Duden online). Schliesslich ist anzufügen, dass "Quant" ein Familienname ist, was jedoch höchstens jenen bekannt sein dürfte, die schon von der Erfinderin des Minirocks, Mary Quant, gehört haben (vgl. https://de.wikipedia.org/ wiki/Mary_Quant , abgerufen am 28.02.2018). Im Zusammenhang mit Dienstleistungen ist für "Quant" respektive "Quantum" keine beschreibende Bedeutung ersichtlich - anders als dies bei bestimmten Waren wie etwa den Lebensmitteln, die im Gegensatz zu Dienstleistungen mess- und teilbar sind, der Fall sein könnte. Insofern wirken die Elemente "Quant" und "Quantum" im vorliegenden Fall unbestimmt.</w:t>
      </w:r>
    </w:p>
    <w:p>
      <w:r>
        <w:rPr>
          <w:b/>
        </w:rPr>
        <w:t>E. 4.2.2</w:t>
      </w:r>
    </w:p>
    <w:p>
      <w:r>
        <w:t>Das zusätzliche Element "CapitalPartners" der angefochtenen Marke entstammt der englischen Sprache. Es besteht aus den Wörtern "Capital" und "Partners". "Capital" bedeutet auf Deutsch "Kapital", nebst der Bedeutung "Hauptstadt, Grossbuchstabe, Vorteil"; "Partners" ist die englische Pluralform des identischen deutschsprachigen Wortes "Partner" (vgl. Langenscheidt e-Handwörterbuch Englisch-Deutsch 5.0). Insgesamt wird "CapitalPartners" im Zusammenhang mit den beanspruchten Unternehmensdienstleistungen der Klasse 35 und Finanzdienstleistungen der Klasse 36 unschwer als "Kapitalpartner" verstanden. Dabei handelt es sich, wie selbst die Beschwerdeführerin anmerkt, um einen Hinweis auf das Tätigkeitsgebiet respektive auf den Leistungserbringer und ist damit beschreibend (vgl. Urteil B-38/2011, B-39/2011, B-40/2011 vom 29. April 2011 E. 7.1.2 "IKB/ICB BANKING GROUP"). Daraus folgt, dass der Bestandteil "CapitalPartners" im Gesamteindruck nicht prägend ist. Für die Beurteilung der Markenähnlichkeit dürfen schwache oder gemeinfreie Markenbestandteile jedoch nicht einfach weggestrichen werden. Selbst gemeinfreie Bestandteile können den Gesamteindruck von Marken beeinflussen und in Verbindung mit anderen Zeichenelementen markenrechtlichen Schutz geniessen. Die Verwechslungsgefahr ausschliessen können sie allerdings für sich selbst nur, wenn sie dem ganzen Zeichen einen veränderten Sinngehalt vermitteln (BGE 122 III 382 E. 5b "Kamillosan"; Urteil des BGer 4C.258/2004 vom 6. Oktober 2004 E. 4.1 "Yello / Yellow Access AG"). Der Bestandteil "CapitalPartners" ist mit seinen 15 Buchstaben mehr als doppelt so lang wie der erste Bestandteil "Quantum". Insofern weist er im Vergleich zu "Quantum" eine beachtliche Länge auf, weswegen er trotz seines beschreibenden Charakters zumindest mitzuberücksichtigen ist (vgl. Urteil B-38/2011, B-39/2011, B-40/2011 E. 7.1.2 "IKB/ICB BANKING GROUP"). Hinzu kommt, dass das angefochtene Zeichen mit "CapitalPartners" einen, wenn auch schwachen, Sinngehalt aufweist. Daher ist der Beschwerdeführerin darin zuzustimmen, dass ihre Marke entgegen der Ansicht der Vorinstanz und der Beschwerdegegnerin nicht auf den Begriff "Quantum" reduziert werden darf.</w:t>
      </w:r>
    </w:p>
    <w:p>
      <w:r>
        <w:rPr>
          <w:b/>
        </w:rPr>
        <w:t>E. 4.2.3</w:t>
      </w:r>
    </w:p>
    <w:p>
      <w:r>
        <w:t>Losgelöst vom zusätzlichen Element "CapitalPartners" haben die Vergleichszeichen je zwei Silben (QUAN - TEX respektive QUAN - TUM), mit dem Zusatz "CapitalPartners" erhöht sich die Silbenzahl bei der angefochtenen Marke von zwei auf sieben (QUAN - TUM - CA - PI - TAL - PART - NERS). Die Zeichen bestehen aus je 7 Buchstaben; mit erwähntem Zusatz weist die angefochtene Marke 15 Buchstaben auf und ist damit, wie bereits ausgeführt, mehr als doppelt so lang. Die Vokalfolgen lauten A-E und A-U (mit Zusatz: A-U-A-I-A-A-E). Dass die Widerspruchsmarke in Grossbuchstaben und die angefochtene Marke in Gross und Kleinbuchstaben geschrieben ist, ist für die Beurteilung des Schriftbildes entgegen der Meinung der Beschwerdeführerin nicht von ausschlaggebender Bedeutung (vgl. Urteil des BVGer B-1637/2015 vom 14. September 2015 E. 4.1 "femibion [fig.]/FEMINABIANE"; B-317/2010 vom 13. September 2010 E. 6.3 "Lifetex/LIFETEA").</w:t>
      </w:r>
    </w:p>
    <w:p>
      <w:r>
        <w:rPr>
          <w:b/>
        </w:rPr>
        <w:t>E. 4.2.4</w:t>
      </w:r>
    </w:p>
    <w:p>
      <w:r>
        <w:t>Die Vergleichszeichen unterscheiden sich, abgesehen vom zusätzlichen Element "CapitalPartners", zudem in der dem Element "Quant" angefügten Endung: Während die Widerspruchsmarke mit "-EX" endet, lautet die Endung beim angegriffenen Zeichen "-um". Dadurch erhält die Widerspruchsmarke - ähnlich wie beim Vergleich von "BOSS" mit "BOKS" - im Klangbild "etwas Abgehacktes", während die angegriffene Marke mit der Endung "-um" einen viel weicheren Klang hat (vgl. BGE 121 III 377 E. 3a "Boss/Boks"). Zudem hat die Endung "-EX" im Gegensatz zu "-um" eine eigenständige Bedeutung im Sinne von "aus, aus - heraus" (vgl. Duden online). Anders als etwa bei den Marken "Müllex", "Krust-ex" oder "Mosquit-ex" ergibt die Endung "-EX" bei der Widerspruchsmarke indessen keinen bestimmten Sinngehalt.</w:t>
      </w:r>
    </w:p>
    <w:p>
      <w:r>
        <w:rPr>
          <w:b/>
        </w:rPr>
        <w:t>E. 4.3</w:t>
      </w:r>
    </w:p>
    <w:p>
      <w:r>
        <w:t>Als Zwischenergebnis ist festzuhalten, dass sich die angefochtene Marke und die Widerspruchsmarke in schriftbildlicher und klanglicher Hinsicht sowie im Sinngehalt trotz bestimmter Unterschiede ähnlich sind.</w:t>
      </w:r>
    </w:p>
    <w:p>
      <w:r>
        <w:rPr>
          <w:b/>
        </w:rPr>
        <w:t>E. 5</w:t>
      </w:r>
    </w:p>
    <w:p>
      <w:r>
        <w:t>Abschliessend ist in einer Gesamtbetrachtung und unter Berücksichtigung der Kennzeichnungskraft beider Marken sowie des Aufmerksamkeitsgrades, den die massgeblichen Verkehrskreise bei der Nachfrage der beanspruchten Dienstleistungen walten lassen, über die Verwechslungsgefahr zu urteilen.</w:t>
      </w:r>
    </w:p>
    <w:p>
      <w:r>
        <w:rPr>
          <w:b/>
        </w:rPr>
        <w:t>E. 5.1</w:t>
      </w:r>
    </w:p>
    <w:p>
      <w:r>
        <w:t>Während die Vorinstanz in der angefochtenen Verfügung davon ausgeht, dass die Widerspruchsmarke über durchschnittliche Kennzeichnungskraft und einen normalen Schutzumfang verfügt, vertritt die Beschwerdeführerin die Auffassung, dass es sich bei der Widerspruchsmarke um eine schwache Marke handelt, da der Begriff "Quant" dem Gemeingut unterliege und folglich der Schutzumfang entsprechend eingeschränkt sei. Die Beschwerdegegnerin bringt vor, sie habe die Kennzeichnungskraft ihrer Marke "QUANTEX" auf Grund intensiven Gebrauchs gesteigert, weshalb "QUANTEX" nicht nur über eine normale, sondern eine starke Kennzeichnungskraft verfüge.</w:t>
      </w:r>
    </w:p>
    <w:p>
      <w:r>
        <w:rPr>
          <w:b/>
        </w:rPr>
        <w:t>E. 5.2</w:t>
      </w:r>
    </w:p>
    <w:p>
      <w:r>
        <w:t>Um die behauptete gesteigerte Kennzeichnungskraft zu belegen, verweist die Beschwerdegegnerin auf bestimmte Seiten ihrer Homepage www.quantex.ch (Beilagen 1, 2, 45) und legt folgende Schriftstücke ins Recht: - Unterlagen von Präsentationen über "QUANTEX"-Fonds im Zeitraum zwischen Mai 2008 bis April 2016 (Beilagen 3-13) - Jahresberichte über "QUANTEX"-Fonds im Zeitraum zwischen 2008 und 2016 (Beilagen 14-42) - Zwei Medienberichte vom September/Oktober 2014 (Beilagen 43+44) - Anlegerinformationen vom Zeitraum zwischen Juli 2011 und Februar 2016 (Beilagen 46-67) - Factsheets zu einzelnen "QUANTEX"-Fonds vom Zeitraum zwischen Dezember 2011 und Dezember 2016 (Beilagen 68-102) - Fondsverträge vom Juni 2011 bis August 2016 (Beilagen 103-106) - Muster eines monatlichen Anlegerbriefes vom Oktober 2016 und Übersicht der Anlegerbriefe des Jahres 2015 (Beilagen 107+108).</w:t>
      </w:r>
    </w:p>
    <w:p>
      <w:r>
        <w:rPr>
          <w:b/>
        </w:rPr>
        <w:t>E. 5.2.1</w:t>
      </w:r>
    </w:p>
    <w:p>
      <w:r>
        <w:t>Nach Auffassung der Beschwerdeführerin zeigen diese Dokumente nur den markenmässigen Gebrauch auf. Mit selbst erstellten Präsentationen, eigenen Jahresberichten, selbst erstellten Informationsblättern, Fact-sheets, eigenen Fondsverträgen oder selbst erstellten Anlegerbriefen liesse sich gar nichts beweisen.</w:t>
      </w:r>
    </w:p>
    <w:p>
      <w:r>
        <w:rPr>
          <w:b/>
        </w:rPr>
        <w:t>E. 5.2.2</w:t>
      </w:r>
    </w:p>
    <w:p>
      <w:r>
        <w:t>Den von der Beschwerdegegnerin eingereichten Belegen, die aus den Jahren 2008 bis 2016 stammen, lässt sich entnehmen, dass die Widerspruchsmarke in dieser Zeit und damit über einen längeren Zeitraum im Zusammenhang mit Anlagefonds markenmässig gebraucht worden ist. Jedoch bleibt unklar, inwiefern die Widerspruchsmarke durch diesen markenmässigen Gebrauch zu einer bekannten Marke geworden ist, wie nachfolgend zu zeigen sein wird: So ist mangels entsprechender (dokumentierter) Aussagen der Beschwerdegegnerin unklar, wie intensiv die Website www.quantex.ch (vgl. Beilagen 1+2) frequentiert wird, wie viele Personen den Präsentationen über "QUANTEX"-Fonds (Beilagen 3-13) beigewohnt haben, an wie viele Personen die Jahresberichte (Beilagen 14-42), Anlegerinformationen (Beilagen 46-67) und Factsheets (Beilagen 68-102) verteilt, und mit wie vielen Personen Fondsverträge (Beilagen 103-106) abgeschlossen worden sind. Die Jahresberichte zeigen zwar immerhin auf, wie viele Fondsanteile im Umlauf sind, nicht aber, auf wie viele Anteilseigner sich diese Fondsanteile aufteilen, und wie viele dieser Anteilseigner ihren Sitz respektive Wohnsitz in der Schweiz haben. Insgesamt vermögen diese Belege nicht nachzuweisen, dass es sich bei "QUANTEX" um eine Marke mit hohem Bekanntheitsgrad handelt. Sie ist indessen entgegen der Ansicht der Beschwerdeführerin auch nicht als schwach zu qualifizieren, da sie für die beanspruchten Dienstleistungen wie erwähnt nicht beschreibend ist (vgl. E. 4.2.1 und 4.2.4). Daher ist von einem normalen Schutzumfang der Widerspruchsmarke "QUANTEX" auszugehen.</w:t>
      </w:r>
    </w:p>
    <w:p>
      <w:r>
        <w:rPr>
          <w:b/>
        </w:rPr>
        <w:t>E. 5.3</w:t>
      </w:r>
    </w:p>
    <w:p>
      <w:r>
        <w:t>Bei den zu vergleichenden Marken besteht Übereinstimmung im nicht beschreibenden Element "Quant". Während bei der Widerspruchsmarke diesem Element die Endung "-ex" angefügt wird, endet das erste Wortelement der angegriffenen Marke mit "-um", womit die angegriffene Marke lediglich auf die sprachliche Grundstufe von "Quant", d.h. "Quantum", zurückgeführt wird. Diesem Basiswort "Quantum" wird dem angefochtenen Zeichen zudem nur der für die beanspruchten Dienstleistungen beschreibende Zusatz "CapitalPartners" hinzugefügt. Angesichts der festgestellten Dienstleistungsidentität respektive -gleichartigkeit besteht daher trotz der unterschiedlichen Endung die Gefahr von Fehlzurechnungen.</w:t>
      </w:r>
    </w:p>
    <w:p>
      <w:r>
        <w:rPr>
          <w:b/>
        </w:rPr>
        <w:t>E. 5.4</w:t>
      </w:r>
    </w:p>
    <w:p>
      <w:r>
        <w:t>An diesem Schluss ändert auch das von der Beschwerdeführerin zitierte Urteil 4C.258/2004 des Bundesgerichts vom 6. Oktober 2004 in Sachen "Yello / Yellow Access AG" nichts. Gemäss der Beschwerdeführerin widerspricht der angefochtene Entscheid der Vorinstanz diesem Urteil klar, zumal auf den vorliegenden Sachverhalt das bundesgerichtliche Urteil eins zu eins angewendet werden könne. Im Urteil 4C.258/2004 vom 6. Oktober 2004 stellte das Bundesgericht fest, die dortige Vorinstanz (das Kantonsgericht Zug) habe kein Bundesrecht verletzt, indem sie eine markenrechtliche Verwechslungsgefahr zwischen den im Streit liegenden Zeichen "YELLO" und "YELLOW ACCESS AG" verneinte. Wie im vorliegenden Fall wurden die gegenüberstehenden Zeichen für identische oder zumindest verwandte Waren oder Dienstleistungen beansprucht. Im Gegensatz zur vorliegenden Widerspruchsmarke "QUANTEX", der ein normaler Schutzumfang zugesprochen wurde (vgl. E. 5.2.2), wurde die klägerische Marke "YELLO" als Zeichen mit beschränktem Schutzumfang qualifiziert, da ähnliche Markenbestandteile wie "YELLO" oder "YELLOW" allgemein recht häufig gebraucht würden, was zu einer Verwässerung ihrer Kennzeichnungskraft führe (BGer 4C.258/2004 E. 3.4 "Yello / Yellow Access AG"). Zudem führte das Bundesgericht aus, es dürfe im Gegensatz zur Angabe "YELLOW" nicht ohne weiteres davon ausgegangen werden, dass die massgeblichen Abnehmerkreise der Marke "YELLO" den Sinngehalt "Gelb" zumessen würden. Denn "YELLO" unterscheide sich von anderen Wörtern der englischen Sprache, wie "yell" (zu Deutsch: Schrei) und "hello" (zu Deutsch: Hallo) nur geringfügig und werde daher vom Adressaten ebenso gut mit diesen Worten assoziiert. Der Umstand, dass die massgeblichen Verkehrskreise den Sinngehalt "Gelb" lediglich der Marke der Beklagten eindeutig entnehmen würden, wirke sich gegen mögliche Verwechslungen der streitbetroffenen Zeichen aus (BGer 4C.258/2004 E. 4.2 "Yello / Yellow Access AG"). Im vorliegenden Fall erkennen die angesprochenen Adressaten in den zu vergleichenden Elementen "Quantum" und "Quant" dagegen, wenn überhaupt, einen gleichen respektive ähnlichen Sinngehalt wie "Menge, Wert, Grösse". Insofern ist die Meinung der Beschwerdeführerin, auf den vorliegenden Sachverhalt könne das bundesgerichtliche Urteil eins zu eins angewendet werden, abzulehnen, und der Vorinstanz kann nicht vorgeworfen werden, der angefochtene Entscheid im Widerspruchsverfahren Nr. 14220 widerspreche dem Urteil 4C.258/2004 des Bundesgerichts in Sachen "Yello / Yellow Access AG". Dieses Urteil ist demnach auch nicht für das vorliegende Verfahren einschlägig.</w:t>
      </w:r>
    </w:p>
    <w:p>
      <w:r>
        <w:rPr>
          <w:b/>
        </w:rPr>
        <w:t>E. 6</w:t>
      </w:r>
    </w:p>
    <w:p>
      <w:r>
        <w:t>Die Beschwerdeführerin machte vor der Vorinstanz wie auch vor Bundesverwaltungsgericht unter Hinweis auf einen Beschluss des Deutschen Patent- und Markenamtes (DPMA) vom 28. April 2016 weiter geltend, zwischen den beiden Marken "QUANTEX" und "Quantum CapitalPartners" könne keine Verwechslungsgefahr bestehen.</w:t>
      </w:r>
    </w:p>
    <w:p>
      <w:r>
        <w:rPr>
          <w:b/>
        </w:rPr>
        <w:t>E. 6.1</w:t>
      </w:r>
    </w:p>
    <w:p>
      <w:r>
        <w:t>Ausländische Entscheidungen haben keine präjudizielle Wirkung, sie können aber immerhin im Rahmen einer rechtsvergleichenden Auslegung mitberücksichtigt werden, sofern die Rechtslage vergleichbar ist und die ausländische Rechtsprechung sich auf dieselbe Marke bezieht (BGE 130 III 113 E. 3.2 "Montessori"; Urteil des BVGer B-6219/2013 vom 27. April 2016 E. 6.2 "Rote Damenschuhsohle").</w:t>
      </w:r>
    </w:p>
    <w:p>
      <w:r>
        <w:rPr>
          <w:b/>
        </w:rPr>
        <w:t>E. 6.2</w:t>
      </w:r>
    </w:p>
    <w:p>
      <w:r>
        <w:t>Beim ausländischen Urteil, auf das vorliegend Bezug genommen wird, handelt es sich nicht um einen Entscheid im Rahmen eines Widerspruchsverfahrens, sondern um einen Entscheid im Rahmen eines Löschungsverfahrens. Insofern konnte das DPMA keine Aussage zur Verwechslungsgefahr zwischen den Vergleichszeichen machen. Es kam lediglich zum Schluss, dass der angegriffenen Wortfolge "Quantum CapitalPartners" das erforderliche Mindestmass an Unterscheidungskraft nicht abgesprochen werden könne, und der Löschungsantrag daher zurückzuweisen sei. Da sich das DPMA nicht zur Verwechslungsgefahr zwischen den Marken "QUANTEX" und "Quantum CapitalPartners" geäussert hat, hat der von der Beschwerdeführerin vorgelegte Beschluss des DPMA keinen Einfluss auf den Ausgang des vorliegenden Verfahrens.</w:t>
      </w:r>
    </w:p>
    <w:p>
      <w:r>
        <w:rPr>
          <w:b/>
        </w:rPr>
        <w:t>E. 7</w:t>
      </w:r>
    </w:p>
    <w:p>
      <w:r>
        <w:t>Nach dem Gesagten erweist sich die Beschwerde als unbegründet und ist abzuweisen.</w:t>
      </w:r>
    </w:p>
    <w:p>
      <w:r>
        <w:rPr>
          <w:b/>
        </w:rPr>
        <w:t>E. 8</w:t>
      </w:r>
    </w:p>
    <w:p>
      <w:r>
        <w:t>Bei diesem Ausgang des Verfahrens wird die Beschwerdeführerin kosten- und entschädigungspflichtig (Art. 63 Abs. 1 VwVG;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von der Beschwerdeführerin (versehentlich doppelt) geleistete Kostenvorschuss von Fr. 9'000.- wird zur Bezahlung der Verfahrenskosten verwendet. Die Differenz von Fr. 4'500.- ist der Beschwerdeführerin zurückzuerstatten.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Die Beschwerdegegnerin hat eine nicht-detaillierte Kostennote in der Höhe von Fr. 6'279.10 eingereicht. Diese erscheint, in Anbetracht ihres für das Gericht nachvollziehbaren Aufwands, überhöht und ist auf Fr. 5'500.- (inkl. MWST) zu kürzen.</w:t>
      </w:r>
    </w:p>
    <w:p>
      <w:r>
        <w:rPr>
          <w:b/>
        </w:rPr>
        <w:t>E. 9</w:t>
      </w:r>
    </w:p>
    <w:p>
      <w:r>
        <w:t>Gegen dieses Urteil steht keine Beschwerde an das Bundesgericht offen (Art. 73 des Bundesgerichtsgesetzes vom 17. Juni 2005, BGG,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