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B-684/2009 vom 24. Juni 2009</w:t>
      </w:r>
    </w:p>
    <w:p>
      <w:r>
        <w:t>Bundesverwaltungsgericht, 2009-06-24, FR</w:t>
      </w:r>
    </w:p>
    <w:p>
      <w:r>
        <w:rPr>
          <w:b/>
        </w:rPr>
        <w:t xml:space="preserve">Quelle: </w:t>
      </w:r>
      <w:r>
        <w:t>https://mcp.opencaselaw.ch/entscheid/bvger_B-684_2009</w:t>
      </w:r>
    </w:p>
    <w:p>
      <w:r>
        <w:t>FR: TAF B-684/2009 du 24 juin 2009</w:t>
      </w:r>
    </w:p>
    <w:p>
      <w:r>
        <w:t>IT: TAF B-684/2009 del 24 giugno 2009</w:t>
      </w:r>
    </w:p>
    <w:p>
      <w:pPr>
        <w:pStyle w:val="Heading2"/>
      </w:pPr>
      <w:r>
        <w:t>Regeste</w:t>
      </w:r>
    </w:p>
    <w:p>
      <w:r>
        <w:t>Absolute Ausschlussgründe</w:t>
      </w:r>
    </w:p>
    <w:p>
      <w:pPr>
        <w:pStyle w:val="Heading2"/>
      </w:pPr>
      <w:r>
        <w:t>Erwägungen</w:t>
      </w:r>
    </w:p>
    <w:p>
      <w:r>
        <w:rPr>
          <w:b/>
        </w:rPr>
        <w:t>E. 1</w:t>
      </w:r>
    </w:p>
    <w:p>
      <w:r>
        <w:t>Adhésifs organiques et/ou inorganiques polymérisables à un ou plusieurs composants se présentant comme tels ou sous forme de cartouches, sachets, supports et contenants de feuilles plastiques à usage commercial; compositions anti-feu organiques et/ou inorganiques dimensionnellement stables, moulées, postformables, expansées et expansibles sous forme de cartouches, sachets ou contenants de feuilles plastiques.</w:t>
      </w:r>
    </w:p>
    <w:p>
      <w:r>
        <w:rPr>
          <w:b/>
        </w:rPr>
        <w:t>E. 6</w:t>
      </w:r>
    </w:p>
    <w:p>
      <w:r>
        <w:t>Eléments de fixation, d'assemblage, d'isolation et de montage tels que goujons filetés, clous, vis, chevilles, éléments d'ancrage, rivets, crochets, anneaux, colliers, dispositifs de fixation et de chevillage d'isolation, arrêts de coffrage, angles, équerres, rails de montage, éléments de suspension, tuyaux ainsi qu'éléments de fixation, d'assemblage et de montage des produits précités; tous les produits précités étant en métal.</w:t>
      </w:r>
    </w:p>
    <w:p>
      <w:r>
        <w:rPr>
          <w:b/>
        </w:rPr>
        <w:t>E. 7</w:t>
      </w:r>
    </w:p>
    <w:p>
      <w:r>
        <w:t>Outils, y compris outils électriques, mécaniques, pneumatiques, à gaz ou à combustion, outils fixes ou à main, tels qu'outils mécaniques destinés aux goujons filetés et clous, agrafeuses-cloueuses, tournevis électriques, perceuses, marteaux perforateurs, perforateurs-burineurs, burineurs, machines de forage et de tronçonnage au diamant, marteaux-burineurs, scies, appareils de refendage et de coupe, machines à meuler, aspirateurs, destinés notamment au travail de la pierre, du bois et à la maçonnerie; pièces détachées et accessoires des machines et outils précités, tels que supports de machines et d'outils, socles de machines et d'outils, unités d'entraînement, forets, y compris trépans à diamant et couronnes de forage au diamant, scies, lames de scie ainsi que disques à meuler, disques à couper et mèches (forets); mélangeurs statiques.</w:t>
      </w:r>
    </w:p>
    <w:p>
      <w:r>
        <w:rPr>
          <w:b/>
        </w:rPr>
        <w:t>E. 8</w:t>
      </w:r>
    </w:p>
    <w:p>
      <w:r>
        <w:t>Outils et instruments à main entraînés manuellement, destinés notamment à la pose de boulons et de clous, en particulier fixateurs à cartouches, outils à découper, outils à affûter, scies, outils conçus pour doser, poser, appliquer et injecter des produits liquides, pâteux et solides, notamment des primaires, mortiers et adhésifs, également sous forme de capsules, contenants, récipients, cartouches, sachets, supports et contenants de feuilles plastiques, ainsi que pièces détachées et accessoires des instruments et outils précités, scies, lames de scie, matoirs, mèches, trépans, y compris trépans à diamant et couronnes de forage au diamant, disques à couper et disques à meuler d'angle.</w:t>
      </w:r>
    </w:p>
    <w:p>
      <w:r>
        <w:rPr>
          <w:b/>
        </w:rPr>
        <w:t>E. 9</w:t>
      </w:r>
    </w:p>
    <w:p>
      <w:r>
        <w:t>Appareils et instruments de commande, de détection, de positionnement, d'alignement, de contrôle (inspection), de signalisation et de mesure électriques, électroniques, magnétiques et/ou laser, y compris accessoires, tels que pieds, supports, viseurs et pièges à faisceau, casques en matières plastiques, goulottes de câblage.</w:t>
      </w:r>
    </w:p>
    <w:p>
      <w:r>
        <w:rPr>
          <w:b/>
        </w:rPr>
        <w:t>E. 13</w:t>
      </w:r>
    </w:p>
    <w:p>
      <w:r>
        <w:t>Charges explosives (explosifs) et cartouches, spécialement celles à usage commercial, telles que celles destinées aux fixateurs à cartouches ainsi que chargeurs destinés aux charges propulsives et aux cartouches précitées; charges explosives sans douille, notamment charges explosives à mise à feu électrique ou par percussion; charges explosives et cartouches alimentées par chargeur. 20 Elements de fixation, d'assemblage et de montage tels que goujons filetés, vis, chevilles, éléments d'ancrage, rivets, crochets, anneaux, ancrage d'isolation, arrêts de coffrage, conteneurs d'emballage en plastique destinés aux machines et outils, tous les produits précités n'étant pas en métal. 37 Prestation de conseils et de services dans les secteurs de la fixation, de la construction et de la démolition; services de réparation, notamment de machines et d'outils de fixation, de coupe, de mesure, de positionnement, de forage, de burinage et de démolition destinés à en assurer la maintenance, l'amélioration et la réparation. B. Mit "Notification de refus provisoire total" vom 22. Februar 2008 verweigerte die Vorinstanz der Marke den Schutz für das Gebiet der Schweiz für alle beanspruchten Waren und Dienstleistungen. Zur Begründung erklärte sie, das Zeichen sei Gemeingut. C. Mit Stellungnahme vom 21. Juli 2008 bestritt die Beschwerdeführerin diese Ansicht. Die Marke wirke schon darum unterscheidungskräftig, weil die von ihr angesprochenen Verkehrskreise kaum Englisch verstünden. Ihr Sinngehalt sei darüber hinaus mehrdeutig und ungewöhnlich, die Verdoppelung der Vorsilbe "Out-" und die verwendete Interpunktion wirke originell und einprägsam. Die Vorinstanz habe z.B. den Slogan "Good food, good life" als Marke eingetragen. Im Ausland sei ihre Marke eingetragen worden. Desgleichen sei ihrer Marke Schutz zu gewähren. D. Mit Schreiben vom 24. Oktober 2008 hielt die Vorinstanz an ihrer Beurteilung fest. Die Marke werde nicht mehrdeutig, sondern von den angesprochenen Hobby-Bastlern, Chemikern, Ingenieuren und Personen der Baubranche vielmehr mit dem Sinn "Übertreffen. Überdauern." verstanden. Damit beschreibe sie direkt Qualität, Art und Zweck der gekennzeichneten Waren und Dienstleistungen und preise diese an. Die Marke sei zudem weder von ihrem Sinngehalt noch von den beanspruchten Waren und Dienstleistungen her mit der Eintragung "Good food, good life" zu vergleichen. E. Mit Verfügung vom 23. Dezember 2008 entschied die Vorinstanz, dass die Marke für die Dienstleistungen in Klasse 37 nach erneuter Prüfung zugelassen werde. Mit Bezug auf die beanspruchten Waren verweigerte sie der Marke, unter Hinweis auf die am 24. Oktober 2008 erteilte Begründung, den Schutz definitiv. F. Am 2. Februar 2009 erhob die Beschwerdeführerin hiergegen Beschwerde ans Bundesverwaltungsgericht mit dem Rechtsbegehren: 1. Ziffer 2 der Verfügung des Eidgenössischen Instituts für Geistiges Eigentum vom 23. Dezember 2008 sei aufzuheben und es sei der internationalen Markenregistrierung Nr. 913'596 OUTPERFORM.OUTLAST. für alle beanspruchten Waren der Klassen 1, 6, 7, 8, 9, 13, 20 der Schutz in der Schweiz vollumfänglich zu gewähren. 2. unter Kosten- und Entschädigungsfolge zu Lasten der Beschwerdegegnerin. Zur Begründung erneuerte sie die der Vorinstanz vorgetragenen Argumente, wobei sie fünf weitere Sloganmarken zum Vergleich anführte, die die Vorinstanz zum Schutz zugelassen hatte. G. Mit Vernehmlassung vom 20. März 2009 hielt die Vorinstanz an ihrer Einschätzung fest und beantragte, die Beschwerde unter Kostenfolgen abzuweisen. Auch die neu erwähnten Sloganmarken hielt sie mit der strittigen Marke für nicht vergleichbar. H. Eine Parteiverhandlung wurde nicht durchgeführt (Art. 40 des Verwaltungsgerichtsgesetzes vom 17. Juni 2005 [VGG, SR 173.32]). Das Bundesverwaltungsgericht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