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B-6822/2013 vom 2. Oktober 2015</w:t>
      </w:r>
    </w:p>
    <w:p>
      <w:r>
        <w:t>Bundesverwaltungsgericht, 2015-10-02, DE</w:t>
      </w:r>
    </w:p>
    <w:p>
      <w:r>
        <w:rPr>
          <w:b/>
        </w:rPr>
        <w:t xml:space="preserve">Quelle: </w:t>
      </w:r>
      <w:r>
        <w:t>https://mcp.opencaselaw.ch/entscheid/bvger_B-6822_2013</w:t>
      </w:r>
    </w:p>
    <w:p>
      <w:r>
        <w:t>FR: TAF B-6822/2013 du 2 octobre 2015</w:t>
      </w:r>
    </w:p>
    <w:p>
      <w:r>
        <w:t>IT: TAF B-6822/2013 del 2 ottobre 2015</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Gemäss auf Art. 3 Abs. 1 MSchG kann der Inhaber der älteren Marke gegen eine jüngere Markeneintragung innerhalb von drei Monaten nach der Veröffentlichung deren Eintragung Widerspruch erheben (Art. 31 MSchG). Vorliegend erfolgte der am 30. April 2012 gestützt auf die ältere internationale Registrierung IR 372 737 "Mamabel" erhobene Widerspruch frist- und formgerecht (vgl. Art. 31 MSchG und Art. 20 MSchV).</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 7934/2007 vom 26. August 2009 E. 2.1 "Fructa/Fructaid", B-3578/2007 vom 31. Oktober 2007 E. 2 "Focus/Pure Focus", B 7492/2006 vom 12. Juli 2007 E. 3 "Aromata/Aromathera"; siehe auch Eugen Marbach, Markenrecht, in: Roland von Büren/Lucas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BGer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BVGer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BVGer B-7492/2006 vom 12. Juli 2007 E. 5 "Aromata/Aromathera"). Stark sind demgegenüber Marken, die entweder aufgrund ihres fantasiehaften Gehalts auffallen oder aber sich im Verkehr durchgesetzt haben (BGE 122 III 382 E. 2a "Kamillosan", mit Hinweisen; Urteil des BGer 4C.258/2004 vom 6. Oktober 2004 E. 2.2 "Yello"; Marbach, SIWR III/1, N. 979 mit Hinweis auf Urteil des BVGer B-7475/2006 vom 20. Juni 2007 E. 6 und 7 "Converse All Stars [fig.]/Army tex [fig.]" und Entscheid der Rekurskommission für geistiges Eigentum [RKGE] vom 26. Oktober 2006 E. 7 "Red Bull [fig.]/Red, Red Devil", in: sic! 2007 S. 531). Die Verwechselbarkeit zweier Zeichen ist daher nicht aufgrund eines abstrakten Zeichenvergleichs, sondern stets vor dem Hintergrund der gesamten Umstände zu beurteilen (Urteil des BVGer B-6046/2008 vom 3. November 2010 "R Rothmans [fig.]/ Roseman Crown Agencies KING SIZE [fig.]").</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 Vorliegend ist der Gebrauch der Widerspruchsmarke einzig in Bezug auf die Ware "Still-Büstenhalter" in Klasse 25 glaubhaft gemacht (vgl. angefochtene Verfügung, Titel B, Rz. 16). Diese Ware richtet sich an stillende Frauen.</w:t>
      </w:r>
    </w:p>
    <w:p>
      <w:r>
        <w:rPr>
          <w:b/>
        </w:rPr>
        <w:t>E. 5</w:t>
      </w:r>
    </w:p>
    <w:p>
      <w:r>
        <w:t>Weiter ist zu prüfen, ob die beanspruchten Waren der sich gegen­über­stehen­den Marken aus Sicht der Abnehmerkreise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B-597/2013 vom 18. Juli 2014 E. 4.1 "EMC/EMIC" mit Hinweisen).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 7934/2007 vom 26. August 2009 E. 5.1 "Fructa/Fructaid" mit weiteren Hinweisen). Für eine Gleichartigkeit sprechen mitunter auch ein aus Sicht des Abnehmers sinnvolles Leistungspaket der zu vergleichenden Waren (Urteile des BVGer B-758/2007 vom 26. Juli 2007 E. 5.2 "G-mode/Gmode"; RKGE in sic! 2003 S. 343 ff. "Visart/Visarte"). Gegen das Vorliegen von Gleichartigkeit sprechen getrennte Vertriebskanäle innerhalb derselben Käuferschicht sowie das Verhältnis von Haupt-, Zwischen- oder Fertigware zu Hilfsware oder Rohstoff (Urteil des BVGer B-7447/2006 vom 17. April 2007 E. 5 "Martini Baby/martini [fig.]"; Marbach, SIWR III/1, N. 831).</w:t>
      </w:r>
    </w:p>
    <w:p>
      <w:r>
        <w:rPr>
          <w:b/>
        </w:rPr>
        <w:t>E. 5.2</w:t>
      </w:r>
    </w:p>
    <w:p>
      <w:r>
        <w:t>Vorliegend unbestritten sind die Identität der von beiden Marken beanspruchten Waren "Still-Büstenhalter" bzw. "soutiens-gorge d'allaitement".</w:t>
      </w:r>
    </w:p>
    <w:p>
      <w:r>
        <w:rPr>
          <w:b/>
        </w:rPr>
        <w:t>E. 5.3.1</w:t>
      </w:r>
    </w:p>
    <w:p>
      <w:r>
        <w:t>Die angefochtene Marke beansprucht in Klasse 25 ausserdem Schutz für die Waren "vêtements, chaussures, articles de chapellerie, en particulier vêtements de grossesse, layettes, sous-vêtements, chaussures". Diesbezüglich schliesst die Vorinstanz auf Warengleichartigkeit zu "Still-Büstenhaltern". Zur Begründung führt sie an, dass Still-Büstenhalter zu den Unterwäschekleidungsstücken (sous-vêtements) gehören und damit unter den Oberbegriff der Kleidung (vêtements) und Schwangerschaftskleidung (vêtements de grossesse) zu subsumieren sind. In Bezug auf "layettes" schliesst sie, dass Babykleidung zum einen am gleichen Ort erworben werden können wie Still-Büstenhalter und zum anderen auch ähnliche Abnehmerkreise haben, nämlich u.a. Mütter. Schliesslich hält die Vorinstanz fest, dass auch "chaussures, articles de chapellerie" als Kleidung am selben Ort wie Still-Büstenhalter gekauft werden können. Dieser Argumentation vermag die Beschwerdeführerin nicht zu folgen. Sie bringt vor, die Tatsache, dass Waren unter demselben Dach gekauft werden könnten, spreche nicht für eine Gleichartigkeit. Ebenso wenig ein Hinweis auf Gleichartigkeit sei die Tatsache, dass all diese Waren in einem Supermarkt erhältlich sein können. Schliesslich bestehe zwischen diesen Waren und einem Still-Büstenhalter weder eine funktionale Austauschbarkeit noch einen ähnlichen Verwendungszweck.</w:t>
      </w:r>
    </w:p>
    <w:p>
      <w:r>
        <w:rPr>
          <w:b/>
        </w:rPr>
        <w:t>E. 5.3.2</w:t>
      </w:r>
    </w:p>
    <w:p>
      <w:r>
        <w:t>Es ist der Vorinstanz zu folgen, wenn diese auf Gleichartigkeit zwischen den von der Widerspruchsmarke beanspruchten "Still-Büstenhaltern" und den von der angefochtenen Waren "vêtements, en particulier vêtements de grossesse, sous-vêtements" schliesst. Ein Still-Büstenhalter gehört zur Warenkategorie der Unterwäsche und ist unter dem Oberbegriff "vêtements" zu subsumieren. Ausserdem handelt es sich hierbei um ein Umstandskleidungsstück.</w:t>
      </w:r>
    </w:p>
    <w:p>
      <w:r>
        <w:rPr>
          <w:b/>
        </w:rPr>
        <w:t>E. 5.3.3</w:t>
      </w:r>
    </w:p>
    <w:p>
      <w:r>
        <w:t>Bezüglich den von der angefochtenen Marke beanspruchten Baby­ausstattungen "layettes" und Still-Büstenhaltern ist eine entfernte Gleichartigkeit zu bejahen. Zwar sind diese Waren nicht gänzlich demselben Sortiment zuzurechnen, denn die Babyausstattung wird vom Säugling und der Still-Büstenhalter von einer stillenden Mutter getragen, doch sind die Abnehmer in beiden Fällen vornehmlich Eltern von Säuglingen. Weiter gilt es zu beachten, dass sie mehrheitlich zum gleichen Zeitpunkt und mitunter im selben Fachgeschäft, welches auf Waren für Mutter und Kind spezialisiert ist, erworben werden. Es ist der Beschwerdeführerin insofern zuzustimmen, dass das Argument, wonach etwas unter einem Dach eines Grossverteilers erworben werden kann, nicht per se für Gleichartigkeit spricht (Urteil des BVGer B-644/2011 vom 17. November 2011 E. 3.5 "Dole [fig.]/Dole [fig.]"). Hingegen kann ein Verkauf in Spezial­geschäfte berücksichtigt werden (Urteil des BVGer B-4260/2010 vom 21. Dezember 2011 E. 6.3 "Bally/Balu [fig.]"). Fachgeschäfte in denen ausschliesslich Waren für Mutter und Kind angeboten werden, sind üblich und bieten in erster Linie Waren für werdende bzw. stillende Mütter sowie Säuglinge an (vgl. zum Beispiel ProBaby Fachmarkt, http://www.probaby.ch/home/; Baby Land AG, http://www.babylandag.ch/; 9punkt9, http://www.9punkt9.ch/; Babyhaus Wehrli, http://www.babyhaus.ch/; Baby-Rose Fachgeschäfte, http://www.baby-rose.ch/fachgeschafte). Die Vertriebskanäle dieser Waren überschneiden sich demnach. Auch kann bei der Herstellung von Babywäsche sowie Unterwäsche wenn nicht gar auf das gleiche so doch auf ein ähnliches Fachwissen zurückgegriffen werden. Eine zumindest entfernte Gleichartigkeit zwischen "Still-Büstenhalter" und "layettes" (Babyausstattung) ist damit zu bejahen. Diese Beurteilung gilt auch für den Vergleich zwischen "Still-Büstenhalter" und "chaussures, articles de chapellerie", da unter Schuhwaren und Kopfbedeckungen auch jene für Säuglinge und Kleinkinder fallen, welche wiederum gemeinsam mit Still-Büstenhaltern in einem Babyhaus vertrieben werden. Dies spricht für eine entfernte Gleichartigkeit.</w:t>
      </w:r>
    </w:p>
    <w:p>
      <w:r>
        <w:rPr>
          <w:b/>
        </w:rPr>
        <w:t>E. 6</w:t>
      </w:r>
    </w:p>
    <w:p>
      <w:r>
        <w:t>Angesichts dessen gilt es nun zu prüfen, ob eine Zeichenähnlichkeit besteht.</w:t>
      </w:r>
    </w:p>
    <w:p>
      <w:r>
        <w:rPr>
          <w:b/>
        </w:rPr>
        <w:t>E. 6.1.1</w:t>
      </w:r>
    </w:p>
    <w:p>
      <w:r>
        <w:t>Entscheidend bei der Beurteilung der Ähnlichkeit zweier Zeichen ist der Gesamteindruck, den die Zeichen bei den massgebenden Verkehrskreisen hinterlassen (Marbach, SIWR III/1, N. 864). Beim Zeichenvergleich ist von den Eintragungen im Register auszugehen (Urteil des BVGer B-5325/2007 vom 12. November 2007 E. 3 "Adwista/ad-vista" mit Hinweisen; siehe auch Marbach, SIWR III/1, N. 705), doch gilt es zu berücksichtigen, dass das angesprochene Publikum die beiden Marken in der Regel nicht gleichzeitig vor sich hat. Es ist daher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BVGer B-1085/2008 vom 13. November 2008 "Red Bull/Stierbräu"). Eine Differenzierung und damit eine Gewichtung der Zeichenelemente ist zulässig (Marbach, SIWR III/1, N. 866 mit Hinweis auf BGE 96 II 400 "Eden Club").</w:t>
      </w:r>
    </w:p>
    <w:p>
      <w:r>
        <w:rPr>
          <w:b/>
        </w:rPr>
        <w:t>E. 6.1.2</w:t>
      </w:r>
    </w:p>
    <w:p>
      <w:r>
        <w:t>Der Gesamteindruck von Wortmarken wird durch Klang, Schriftbild und Sinngehalt geprägt (Marbach, SIWR II/1, N.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BVGer B-7442/2006 vom 18. Mai 2007 E. 4.2 "Feel'n learn/See'n learn"). Zur Feststellung des Sinngehalts wird auf das Zeichenverständnis in allen Landessprachen abgestellt, wobei jeder Sprache der gleiche Stellenwert zukommt (Urteil des BVGer B-3549/2013 vom 8. Oktober 2014 E. 3.2 "Palace [fig.]").</w:t>
      </w:r>
    </w:p>
    <w:p>
      <w:r>
        <w:rPr>
          <w:b/>
        </w:rPr>
        <w:t>E. 6.2</w:t>
      </w:r>
    </w:p>
    <w:p>
      <w:r>
        <w:t>Im vorliegenden Fall stehen sich die zwei Wortmarken "Mamabel" und "Mamarella" gegenüber. Während die Widerspruchsmarke "Mamabel" dreisilbig ist, setzt sich die angefochtene Marke "Mamarella" aus vier Silben zusammen. Identisch ist der jeweilige Zeichenanfang "Mama". Nahezu identisch ist die Vokalfolge beider Marken "A-A-E" bzw. "A-A-E-A". Gleiches gilt für die Konsonantenfolge bei der sich "M-M-B-L" und "M-M-R-L-L" gegenüber stehen. Die Buchstabenanzahl unterscheidet sich wenig, nämlich 7 (Widerspruchsmarke) gegenüber 9 (angefochtene Marke). Damit bestehen Gemeinsamkeiten bezüglich Wortklang, insbesondere durch den identischen Wortanfang sowie der nahezu identischen Vokalfolge.</w:t>
      </w:r>
    </w:p>
    <w:p>
      <w:r>
        <w:rPr>
          <w:b/>
        </w:rPr>
        <w:t>E. 6.3.1</w:t>
      </w:r>
    </w:p>
    <w:p>
      <w:r>
        <w:t>Zum Sinngehalt der Vergleichszeichen ist vorgängig festzustellen, dass keines lexikalisch erfasst ist. In beiden Zeichen ist der Begriff "Mama" enthalten, bei welchem es sich unstreitig um die familiäre Bezeichnung einer Mutter handelt (vgl. Eintrag zu "Mama", in: DUDEN Das Herkunftswörterbuch, Duden Band 7, 4. Aufl., 2006). Dieses praktisch universelle Kosewort für Mutter (vgl. https://en.wikipedia.org/wiki/Mama_ and_papa) ist zwar in der deutschen Form geschrieben (Eintrag zu "Mama", in: WAHRIG Deutsches Wörterbuch, 9. Aufl., 2011), doch wird dieser Zeichenbestandteil grundsätzlich in allen Landessprachen verstanden. Zum einen ist es sehr nahe am Italienischen und Romanischen "mamma" und andererseits werden auch französischsprachige Abnehmerinnen diesen Begriff aufgrund seiner Nähe und Bekanntheit zu "maman" im Sinne von "Mutter" verstehen. Schliesslich drängt sich dieser Sinngehalt der Abnehmerin im Zusammenhang mit Waren, welche sich in erster Linie - wenn nicht sogar ausschliesslich - an Mütter richten, direkt auf - egal welche Landessprache sie spricht.</w:t>
      </w:r>
    </w:p>
    <w:p>
      <w:r>
        <w:rPr>
          <w:b/>
        </w:rPr>
        <w:t>E. 6.3.2</w:t>
      </w:r>
    </w:p>
    <w:p>
      <w:r>
        <w:t>In der Widerspruchsmarke ist zudem der Begriff "bel" enthalten. Die Vorinstanz und die Beschwerdegegnerin gehen in dessen Zusammenhang davon aus, dass dieses Zeichenbestandteil, welches die männliche Form des französischen Adjektivs "bel/belle" ist, auch von französischen Abnehmern nicht im Sinne von "bel", d.h. "schön", verstanden wird. Ihrer Ansicht nach, wird dieses Zeichenbestandteil aufgrund der männlichen Form und grammatikalisch falschen Position (nach und nicht vor dem Nomen) als Fantasiebegriff aufgefasst. Dieser Ansicht kann sich das Gericht nicht anschliessen. Es gilt nämlich der Grundsatz, wonach ein sprachregelwidriges Weglassen oder Ersetzen einzelner, nicht ausgesprochener Buchstaben den Gesamteindruck in der Regel nicht verändert (Urteile des BVGer B-5692/2012 vom 17. März 2014 E. 5.1 "YELLO/YELLOW LOUNGE", B-2687/2011 vom 20. Februar 2012 E. 5.2.2 "NORMA", B-6748/2008 vom 16. Juli 2009 E. 11 "XPERTSELECT", B-1710/2008 vom 6. November 2008 E. 3.5 "SWISTEC"). Vorliegend wird das männliche "bel" phonetisch gleich ausgesprochen wie das weibliche "belle", sodass zumindest akustisch kein Unterschied besteht. Weiter ist die falsche Positionierung des Adjektivs für einen Muttersprachler nicht derart aussergewöhnlich, dass sich ihm dadurch der korrekte Sinngehalt des Adjektivs entzieht, womit von dem notwendigen Fantasiegehalt ausgegangen werden könnte. Die Tatsache, dass es sich bei der Widerspruchsmarke um eine Wortneuschöpfung handelt, ändert an ihrem verständlichen - und allenfalls beschreibenden (vgl. auch E. 7.1 hiernach) - Sinngehalt nichts, solange die Wortkombination "Mamabel" ohne Gedankenaufwand in "Mama" und "bel" aufgeteilt wird, weil einzig diese Aufteilung der Wortkombination einen Sinngehalt verleiht (BGE 100 Ib 250 E. 4 "Sibel"; Urteil des BVGer B-8005/2010 vom 22. März 2011 E. 4.6 "Cleantech Switzerland"). Damit werden zumindest die frankophonen Verkehrskreise ohne Gedankenaufwand in der Widerspruchsmarke "Mamabel" den Sinngehalt von "Mamabelle" bzw. "belle maman" erkennen.</w:t>
      </w:r>
    </w:p>
    <w:p>
      <w:r>
        <w:rPr>
          <w:b/>
        </w:rPr>
        <w:t>E. 6.3.3</w:t>
      </w:r>
    </w:p>
    <w:p>
      <w:r>
        <w:t>Die angefochtene Marke ihrerseits fügt dem Begriff "Mama" den Zusatz "rella" an. Die Verfahrensparteien sind sich einig, dass es hierbei um eine Fantasiesilbe ohne bestimmbaren Sinngehalt handelt.</w:t>
      </w:r>
    </w:p>
    <w:p>
      <w:r>
        <w:rPr>
          <w:b/>
        </w:rPr>
        <w:t>E. 6.3.4</w:t>
      </w:r>
    </w:p>
    <w:p>
      <w:r>
        <w:t>Da in beiden Zeichen das Substantiv "Mama" enthalten ist, drängt sich eine entsprechende Assoziation zu einer Mutter jeweils auf. Dies wird dadurch verstärkt, dass die damit gekennzeichneten Waren sich in erster Linie an Mütter richten. Der Widerspruchsmarke kommt der bestimmbare und sofort erkennbare Sinngehalt "schöne Mama" zu. Die angefochtene Marke bleibt durch den Zusatz "rella" unbestimmter. Damit liegt eine tatsächliche Übereinstimmung im Sinngehalt der Marken einzig bezüglich dem Zeichenelement "Mama" vor.</w:t>
      </w:r>
    </w:p>
    <w:p>
      <w:r>
        <w:rPr>
          <w:b/>
        </w:rPr>
        <w:t>E. 6.4</w:t>
      </w:r>
    </w:p>
    <w:p>
      <w:r>
        <w:t>Zusammenfassend ist festzustellen, dass Gemeinsamkeiten zwischen den Marken darin bestehen, dass die angefochtene Marke den Bestandteil "Mama" vollständig und die Vokalfolge nahezu vollständig übernimmt. In Bezug auf die Konsonantenfolge sowie dem Sinngehalt der Marken bestehen Unterschiede. Diese vermögen eine Zeichenähnlichkeit dennoch nicht gänzlich auszuschliessen. Sie wurde von der Vorinstanz daher zu Recht bejaht.</w:t>
      </w:r>
    </w:p>
    <w:p>
      <w:r>
        <w:rPr>
          <w:b/>
        </w:rPr>
        <w:t>E. 7</w:t>
      </w:r>
    </w:p>
    <w:p>
      <w:r>
        <w:t>Abschliessend ist in einer Gesamtbetrachtung und unter Berücksichtigung der Kennzeichnungskraft der Widerspruchsmarke sowie des Aufmerksamkeitsgrades, den die massgeblichen Verkehrskreise bei der Nachfrage der beanspruchten Waren walten lassen, über die Verwechslungsgefahr zu urteilen.</w:t>
      </w:r>
    </w:p>
    <w:p>
      <w:r>
        <w:rPr>
          <w:b/>
        </w:rPr>
        <w:t>E. 7.1</w:t>
      </w:r>
    </w:p>
    <w:p>
      <w:r>
        <w:t>Die Widerspruchsmarke "Mamabel" wird trotz grammatikalischen Unregelmässigkeiten im Sinne von "Schöne Mutter" verstanden (vgl. E. 6.3.2 hiervor). Im Zusammenhang mit den von ihr beanspruchten Waren beschreibt das Zeichen damit zum einen die Abnehmerkreise, nämlich Müttern, und preist sich diesen zum anderen an, nämlich, dass sie mittels dieser Kleidung schön werden. Gerade im Zusammenhang mit Kleidung, ist das Attribut "schön" anpreisend, will man sich doch mit seiner Kleidung zumeist nicht nur be- sondern auch optisch ansprechend ankleiden. Aufgrund ihres beschreibenden Sinngehalts ist die Kennzeichnungskraft der Widerspruchsmarke schwach. Entsprechend genügen daher schon bescheidenere Abweichungen, um eine hinreichende Unterscheidbarkeit zu schaffen (BGE 122 III 382 E. 2a "Kamillosan"; Urteil des BVGer B-4511/2012 vom 8. August 2014 E.3.3 "Drossara/Drosiola" mit weiteren Hinweisen).</w:t>
      </w:r>
    </w:p>
    <w:p>
      <w:r>
        <w:rPr>
          <w:b/>
        </w:rPr>
        <w:t>E. 7.2</w:t>
      </w:r>
    </w:p>
    <w:p>
      <w:r>
        <w:t>Weiter ist im Rahmen der Prüfung einer allfälligen Verwechslungsgefahr beider Marken der Aufmerksamkeitsgrad der Abnehmer von Bedeutung. Je höher die Aufmerksamkeit bei der Inanspruchnahme der fraglichen Waren ist, desto höher ist das Unterscheidungsvermögen der angesprochenen Abnehmerkreise (Joller, a.a.O., Art. 3 N. 52). Bekleidungsstücke im Allgemeinen stellen kein Massengut des täglichen Bedarfs dar, da sie vor dem Kauf oft anprobiert und entsprechend mit einer leicht erhöhten durchschnittlichen Aufmerksamkeit erworben werden (Urteil des BVGer B-6732/2014 vom 20. Mai 2015 E. 3.1 mit Hinweisen "CALIDA/CALYANA"). Wohl existieren unter dem Oberbegriff der Bekleidungsstücke Produktekategorien wie z.B. Unterwäsche, welche seltener anprobiert und entsprechend mit einer eher geringen Aufmerksamkeit erworben werden (Urteil des BVGer B-6732/2014 vom 20. Mai 2015 E. 3.1 mit Hinweisen "CALIDA/CALYANA"). Dies trifft allerdings nicht auf alle Unterwäschestücke zu. So wird womöglich ein Unterleibchen oder gar ein 6er-Pack Unterhosen ohne grosse Anprobe gekauft, nicht aber ein Büstenhalter. Dessen individuelle Passform ist derart kaufentscheidend, dass diese Ware - obschon zur Kategorie der Unterwäsche gehörend - mit leicht erhöhter Aufmerksamkeit erworben wird. Gleiches gilt für Stillbüstenhalter. Diese müssen der Käuferin in dem Moment nach der Geburt und so lange sie ihren Säugling stillt, passen und werden in aller Regel einzig während einer Schwangerschaft getragen und erworben. Die Käuferin wird ihn daher sorgfältig und damit aufmerksam kaufen. Entsprechend ist vorliegend von einer leicht erhöhten Aufmerksamkeit auszugehen.</w:t>
      </w:r>
    </w:p>
    <w:p>
      <w:r>
        <w:rPr>
          <w:b/>
        </w:rPr>
        <w:t>E. 7.3</w:t>
      </w:r>
    </w:p>
    <w:p>
      <w:r>
        <w:t>Die massgeblichen Abnehmerinnen werden die mit den strittigen Marken gekennzeichneten Waren mit leicht erhöhter Aufmerksamkeit erwerben. Dem Markenbestandteil "Mama" wird im Zusammenhang mit Umstands- und Babykleidung wenig Aufmerksamkeit gewidmet, da es sich um einen beschreibenden Zeichenbestandteil handelt. Entsprechend wird das Augenmerk der Abnehmerinnen auf der jeweiligen Endung der Marken liegen. Diese unterscheiden sich phonetisch und visuell klar, weshalb vorliegend und im Sinne einer gesamthaften Würdigung festgestellt werden kann, dass trotz der Identität bzw. Gleichartigkeit der jeweils beanspruchten Waren eine Verwechslungsgefahr zu verneinen ist.</w:t>
      </w:r>
    </w:p>
    <w:p>
      <w:r>
        <w:rPr>
          <w:b/>
        </w:rPr>
        <w:t>E. 8</w:t>
      </w:r>
    </w:p>
    <w:p>
      <w:r>
        <w:t>Der von der Beschwerdeführerin vorgenommene Hinweis auf den noch nicht rechtskräftigen Entscheid des Deutschen Patent- und Marken­amtes DPMA vom 12. Februar 2015 im deutschen Widerspruchsverfahren der strittigen Marken bleibt vorliegend unbeachtlich. Allgemein haben ausländische Entscheidungen keine bindende präjudizielle Wirkung und können - sofern die Rechtslage vergleichbar ist - allenfalls im Rahmen einer rechtsvergleichenden Auslegung mitberücksichtigt werden (Urteil des BGer 4A_261/2010 vom 5. Oktober 2010 E. 4.1 "V [fig.]"). Angesichts des Verfahrensausgangs kann die Frage, inwiefern vergleichbare Rechts­lagen in Deutschland und der Schweiz vorliegen, offen bleiben.</w:t>
      </w:r>
    </w:p>
    <w:p>
      <w:r>
        <w:rPr>
          <w:b/>
        </w:rPr>
        <w:t>E. 9</w:t>
      </w:r>
    </w:p>
    <w:p>
      <w:r>
        <w:t>Zusammenfassend ist dem Rechtsbegehren der Beschwerdeführerin stattzugeben und die Beschwerde vollständig gutzuheissen. Die angefochtene Verfügung der Vorinstanz vom 4. November 2013 ist aufzuheben, soweit sie die Gutheissung des Widerspruchs vorsieht. Entsprechend ist die internationale Registrierung IR 1 102 412 "Mamarella" in der Schweiz vollumfänglich und definitiv zum Markenschutz zuzulassen.</w:t>
      </w:r>
    </w:p>
    <w:p>
      <w:r>
        <w:rPr>
          <w:b/>
        </w:rPr>
        <w:t>E. 10</w:t>
      </w:r>
    </w:p>
    <w:p>
      <w:r>
        <w:t>Bei diesem Ausgang des Verfahrens wird die Beschwerdegegnerin kosten- und entschädigungspflichtig (Art. 63 Abs. 1 VwVG und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4'000.- festzulegen und der Beschwerdegegnerin aufzuerlegen. Der von der Beschwerdeführerin in dieser Höhe geleistete Kostenvorschuss ist ihr zurückzuerstatten.</w:t>
      </w:r>
    </w:p>
    <w:p>
      <w:r>
        <w:rPr>
          <w:b/>
        </w:rPr>
        <w:t>E. 10.2</w:t>
      </w:r>
    </w:p>
    <w:p>
      <w:r>
        <w:t>Im vorinstanzlichen Verfahren ist die Beschwerdeführerin unterlegen. Aufgrund des Verfahrensausgangs vor Bundesverwaltungsgericht hat sie aber nunmehr auch mit Bezug auf die vorinstanzlichen Kosten als obsiegend zu gelten. Die erstinstanzlichen Verfahrenskosten wurden auf Fr. 800.- festgelegt und von der Beschwerdegegnerin vorgeleistet. Die Widerspruchsgebühr verbleibt gemäss Ziffer 3 der angefochtenen Verfügung bei der Vorinstanz. Indessen sind die Kosten für das erstinstanzliche Verfahren der unterliegenden Beschwerdegegnerin aufzuerlegen und mit der von ihr bereits vorgeleisteten Widerspruchsgebühr zu verrechnen. Die Beschwerdeführerin hat der Beschwerdegegnerin daher keine Kosten zu ersetzen und Ziffer 4 der angefochtenen Verfügung ist in diesem Punkt aufzuheben.</w:t>
      </w:r>
    </w:p>
    <w:p>
      <w:r>
        <w:rPr>
          <w:b/>
        </w:rPr>
        <w:t>E. 10.3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Das Gericht setzt die Parteientschädigung aufgrund der Kostennote oder wenn, wie vorliegend, keine Kostennote eingereicht wurde auf Grund der Akten fest (Art. 14 Abs. 2 Satz 2 VGKE). Angesichts des doppelt geführten Schriftenwechsels erscheint eine Parteientschädigung in der Höhe von Fr. 6'000.- im Beschwerdeverfahren als angemessen.</w:t>
      </w:r>
    </w:p>
    <w:p>
      <w:r>
        <w:rPr>
          <w:b/>
        </w:rPr>
        <w:t>E. 10.4</w:t>
      </w:r>
    </w:p>
    <w:p>
      <w:r>
        <w:t>Gemäss Art. 34 MSchG bestimmt die Vorinstanz in welchem Masse die Kosten der obsiegenden Partei im vorinstanzlichen Verfahren von der unterliegenden zu ersetzen sind. In Ziffer 4 der angefochtenen Verfügung vom 4. November 2013 sprach die Vorinstanz für das erstinstanzliche Verfahren der Beschwerdegegnerin eine Parteientschädigung von Fr. 2'000.- zu. Sie begründete dies damit, dass einer obsiegenden Partei pro Schriftenwechsel eine Entschädigung von Fr. 1'000.- praxisgemäss zustünde. Angesichts des Verfahrensausgangs ist diese Regelung dahingehend abzuändern, dass die Parteientschädigung von Fr. 2'000.- für das erstinstanzliche Verfahren nunmehr der Beschwerdeführerin zulasten der Beschwerdegegnerin zuzusprechen ist.</w:t>
      </w:r>
    </w:p>
    <w:p>
      <w:r>
        <w:rPr>
          <w:b/>
        </w:rPr>
        <w:t>E. 11</w:t>
      </w:r>
    </w:p>
    <w:p>
      <w:r>
        <w:t>Gegen dieses Urteil ist die Beschwerde an das Bundesgericht nicht gegeben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