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B-6821/2013 vom 25. Februar 2015</w:t>
      </w:r>
    </w:p>
    <w:p>
      <w:r>
        <w:t>Bundesverwaltungsgericht, 2015-02-25, DE</w:t>
      </w:r>
    </w:p>
    <w:p>
      <w:r>
        <w:rPr>
          <w:b/>
        </w:rPr>
        <w:t xml:space="preserve">Quelle: </w:t>
      </w:r>
      <w:r>
        <w:t>https://mcp.opencaselaw.ch/entscheid/bvger_B-6821_2013</w:t>
      </w:r>
    </w:p>
    <w:p>
      <w:r>
        <w:t>FR: TAF B-6821/2013 du 25 février 2015</w:t>
      </w:r>
    </w:p>
    <w:p>
      <w:r>
        <w:t>IT: TAF B-6821/2013 del 25 febbraio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Widerspruchsachen zuständig (Art. 31, 32, 33 Bst. e des Verwaltungsgerichtsgesetzes vom 17. Juni 2005 [VGG, SR 173.32]). Als Widersprechende hat die Beschwerdeführerin am vorinstanzlichen Verfahren teilgenommen und ist durch die angefochtene Verfügung besonders berührt und beschwert (Art. 48 Abs. 1 des Verwaltungsverfahrensgesetzes vom 20. Dezember 1968 [VwVG, SR 172.021]). Die Beschwerde wurde innert Frist und formgerecht erhoben (Art. 50 Abs. 1, Art. 52 Abs. 1 VwVG), der Kostenvorschuss fristgemäss bezahlt (Art. 63 Abs. 4 VwVG). Auf die Beschwerde ist daher einzutreten.</w:t>
      </w:r>
    </w:p>
    <w:p>
      <w:r>
        <w:rPr>
          <w:b/>
        </w:rPr>
        <w:t>E. 2</w:t>
      </w:r>
    </w:p>
    <w:p>
      <w:r>
        <w:t>Im Beschwerdeverfahren hat die Beschwerdeführerin den Entscheid der Vorinstanz zum rechtserhaltenden Gebrauch der Widerspruchsmarke nicht kritisiert. Daher ist lediglich von einem solchen für "produits cosmétiques, parfumerie, savons cosmétique" der Klasse 3 auszugehen. Zu prüfen ist vorliegend somit nur noch die Verwechslungsgefahr der beiden Marken.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3.2</w:t>
      </w:r>
    </w:p>
    <w:p>
      <w:r>
        <w:t>Die Gleichartigkeit der Waren und Dienstleistungen beurteilt sich anhand der Einträge im Markenregister (Urteil des BVGer B 531/2013 vom 21. Oktober 2013 E. 2.2 mit Hinweisen "Gallo/Gallay [fig.]"), soweit aufgrund einer Nichtgebrauchseinrede keine Einschränkung gegeben ist (Urteil des BVGer B 5179/2012 vom 20. Mai 2014 E. 3.2 "Tivo/Tivù Sat HD [fig.]; Joller,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MSchG, Art. 3 N. 300). Eine Gleichartigkeit kann nicht nur zwischen Waren oder Dienstleistungen je untereinander bestehen, sondern auch zwischen diesen beiden Kategorien von Produkten (Urteile des BVGer B 5179/2012 vom 20. Mai 2014 E. 3.2 "Tivo/Tivù Sat HD [fig.]"; B 2269/2011 vom 9. März 2012 E. 6.5.1 "Bonenwelding"; Eugen Marbach, Markenrecht, in: von Büren/David [Hrsg.], Schweizerisches Immaterialgüter- und Wettbewerbsrecht [SIWR] Bd. III/1, 2. Aufl. 2009, Rz. 853 ff.; Willi, a.a.O., Art. 3 N. 35).</w:t>
      </w:r>
    </w:p>
    <w:p>
      <w:r>
        <w:rPr>
          <w:b/>
        </w:rPr>
        <w:t>E. 3.3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a.a.O., Rz. 867;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3.4</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 5179/2012 vom 20. Mai 2014 E. 3.4 mit Hinweisen "Tivo/Tivù Sat HD [fig.]"; B 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Zeitschrift für Immaterialgüter-, Informations- und Wettbewerbsrecht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3.6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 5179/2012 vom 20. Mai 2014 E. 3.5 "Tivo/Tivù Sat HD [fig.]"; B 502/2009 vom 3. November 2009 E. 5.2.1, 6 "Premium ingredients, s.l. [fig.]/Premium Ingredients International [fig.]").</w:t>
      </w:r>
    </w:p>
    <w:p>
      <w:r>
        <w:rPr>
          <w:b/>
        </w:rPr>
        <w:t>E. 3.7</w:t>
      </w:r>
    </w:p>
    <w:p>
      <w:r>
        <w:t>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4</w:t>
      </w:r>
    </w:p>
    <w:p>
      <w:r>
        <w:t>Zunächst sind die massgeblichen Verkehrskreise für die Waren zu bestimmen, für welche die Widerspruchsmarke rechtserhaltend gebraucht worden ist (vgl. E. 2). Kosmetikprodukte werden von fast allen Menschen benutzt und von Abnehmern im Handel etwa ab Erreichen der Adoleszenz nachgefragt. Ab dieser Altersstufe zieren sich zudem die meisten Menschen mit Düften. Produkte im Kosmetik- und Parfümeriebereich sind auf alle Geschlechter und Stilrichtungen ausgerichtet und spielen mit deren verschiedenen Facetten. Zu den massgeblichen Verkehrskreisen gehören somit Frauen und Männer ab zirka dem dreizehnten Altersjahr, unabhängig ihrer finanziellen Möglichkeiten und ihrer Bildung.</w:t>
      </w:r>
    </w:p>
    <w:p>
      <w:r>
        <w:rPr>
          <w:b/>
        </w:rPr>
        <w:t>E. 5</w:t>
      </w:r>
    </w:p>
    <w:p>
      <w:r>
        <w:t>In einem weiteren Schritt ist die Gleichartigkeit der Waren und Dienstleistungen zu prüfen.</w:t>
      </w:r>
    </w:p>
    <w:p>
      <w:r>
        <w:rPr>
          <w:b/>
        </w:rPr>
        <w:t>E. 5.1</w:t>
      </w:r>
    </w:p>
    <w:p>
      <w:r>
        <w:t>Die Vorinstanz beurteilt in ihrem Entscheid die jeweiligen Waren der Klasse 3, für welche die Marken Schutz beanspruchen, als identisch. Gleichartigkeit erkennt sie für die Dienstleistungen "saloni di bellezza e di parrucchieri; servizi di igiene e di bellezza, servizi di visagisti" der Klasse 44, andersartig hingegen seien "servizi di sauna, servizi di centri dimagranti, servizi di solarium; bagni turchi; servizi di bagni termali; fisioterapia e massaggi, servizi medici" derselben Klasse. Diese Feststellungen rügt die Beschwerdeführerin mit ihrer Beschwerde nicht. Indes hielt sie anlässlich der öffentlichen Verhandlung fest, dass Gleichartigkeit im Verhältnis zu allen Dienstleistungen der Klasse 44 bestehe, ohne dies zu substantiieren. Im vorinstanzlichen Verfahren verwies sie zudem auf zwei ihrer "Clinique"-Marken (CH P 429'856, CH P 495'516), die sich für Dienstleistungen der Klassen 35, 42 und 44 durchgesetzt hätten. Die beiden Marken waren jedoch nicht Gegenstand des vorinstanzlichen Widerspruchsverfahrens und sind somit nicht Teil des vorliegenden Widerspruchsbeschwerdeverfahrens; das entsprechende Argument ist daher nicht zu hören. In ihrer Widerspruchsantwort führt die Beschwerdegegnerin an, bei den Waren der Klasse 3, für welche ihre Marke beansprucht wird, handle es sich um ganz spezifische Kosmetikprodukte, die grundsätzlich zusammen mit den Dienstleistungen der Klasse 44 im Angebot stünden. Diese Waren fänden sich nicht im Einzelhandel - etwa in Parfümerien -, wie es bei den mit der Widerspruchsmarke gekennzeichneten Waren der Fall sei. Zu verneinen sei eine Gleichartigkeit schliesslich ebenso in Bezug auf die Dienstleistungen der Klasse 44.</w:t>
      </w:r>
    </w:p>
    <w:p>
      <w:r>
        <w:rPr>
          <w:b/>
        </w:rPr>
        <w:t>E. 5.2</w:t>
      </w:r>
    </w:p>
    <w:p>
      <w:r>
        <w:t>Mit ihren Ausführungen macht die Beschwerdegegnerin sinngemäss geltend, die mit ihrer Marke gekennzeichneten Waren der Klasse 3 würden über andere Verkaufskanäle angeboten als diejenigen der Beschwerdeführerin. Solches geht aber weder aus dem Waren- und Dienstleistungsverzeichnis noch aus dem angefochtenen Zeichen oder allfälligen Belegen hervor. Offen kann damit bleiben, ob die massgebenden Verkehrskreise überhaupt zwischen den verschiedenen Vertriebsstellen, die hier in Frage kommen, differenzieren würden. Daraus folgt, dass die Vorinstanz die Waren der Klasse 3 zu Recht als identisch beurteilt hat. In engem Zusammenhang stehen die Waren der Klasse 3, für welche die Widerspruchsmarke Schutz beansprucht, und die Dienstleistungen der Klasse 44, bei welchen jene Waren verwendet werden. Wie die Vorinstanz zutreffend erkennt, sind dies "saloni di bellezza e di parrucchieri; servizi di igiene e di bellezza, servizi di visagisti". Beim Konsum der übrigen Dienstleistungen der Klasse 44, "servizi di sauna, servizi di centri dimagranti, servizi di solarium; bagni turchi; servizi di bagni termali; fisioterapia e massaggi, servizi medici", ist die Anwendung und Verfügbarkeit kosmetischer Produkte und von Parfüms zwar nicht ausgeschlossen (vgl. etwa die kosmetischen Möglichkeiten bei Saunaaufgüssen auf &lt; http://www.asia-spa.com &gt; Sauna &gt; Aufgussplan/Spezialabende [besucht am 3. Februar 2015]). Erwartet werden sie indessen von den mass-geblichen Verkehrskreisen insbesondere mit Blick auf medizinische Dienstleistungen nicht. Mit der Vorinstanz ist hier folglich nicht von Gleich­artigkeit auszugehen.</w:t>
      </w:r>
    </w:p>
    <w:p>
      <w:r>
        <w:rPr>
          <w:b/>
        </w:rPr>
        <w:t>E. 6</w:t>
      </w:r>
    </w:p>
    <w:p>
      <w:r>
        <w:t>Im Folgenden ist die Ähnlichkeit der beiden Zeichen zu prüfen.</w:t>
      </w:r>
    </w:p>
    <w:p>
      <w:r>
        <w:rPr>
          <w:b/>
        </w:rPr>
        <w:t>E. 6.1</w:t>
      </w:r>
    </w:p>
    <w:p>
      <w:r>
        <w:t>In ihrem Entscheid hält die Vorinstanz fest, dass dem angefochtenen Zeichen im Gesamteindruck und bei Berücksichtigung der grafischen Elemente zwar ein eigenes Gepräge zukomme. Trotzdem würden aber die massgeblichen Verkehrskreise die Wortbestandteile der Marke als selbständige Zeichenelemente erkennen. Basierend darauf schliesst sie auf eine visuelle und phonetische Ähnlichkeit der Zeichen CLINIQUE und DERMACLINIQUE BEAUTY FARM (fig.), weil beide den Begriff "Clinique" als einzigen beziehungsweise einen Bestandteil führten. Einen unterschiedlichen Bedeutungsinhalt, welcher jene Ähnlichkeit zu kompensieren vermöchte, wiesen die beiden Zeichen nicht auf. Deshalb liege eine Zeichenähnlichkeit vor. Im vorinstanzlichen Verfahren begründet die Beschwerdegegnerin die fehlende Zeichenähnlichkeit mit dem Fokus auf den Wortbestandteil "Der­ma" ihrer Marke. In Kombination mit den übrigen Textelementen ergebe sich der Sinngehalt "clinica della pelle" ("della pelle" im Original hervorgehoben) mit der Verdeutlichung "Beauty Farm", die ästhetische und nicht medizinische Behandlungen indiziere. So ergebe sich ein unterschiedlicher Sinngehalt und resultiere keine Ähnlichkeit der beiden Zeichen. Soweit sich die Beschwerdeführerin zur Zeichenähnlichkeit äussert, folgt sie in den Grundsätzen den Ausführungen im Entscheid der Vorinstanz. Ausserdem fügt sie an, der Bestandteil "Derma" des angefochtenen Zeichens bleibe - im Gegensatz zum Element "Clinique" - bei der Aussprache nahezu unbemerkt.</w:t>
      </w:r>
    </w:p>
    <w:p>
      <w:r>
        <w:rPr>
          <w:b/>
        </w:rPr>
        <w:t>E. 6.2</w:t>
      </w:r>
    </w:p>
    <w:p>
      <w:r>
        <w:t>Die angefochtene Marke zeigt in blauer Farbe die Worte "Dermaclinique", "Beauty" und "Farm". Sie alle sind in Grossbuchstaben gesetzt, wobei das Element "Derma" mit fetter Schrift ausgezeichnet ist. "Beauty" und "Farm" stehen unterhalb von "Dermaclinique". Eine blaue horizontale Linie liegt dazwischen, die von einer etwas übergrossen, geschwungenen Schleife des Buchstabens "Q" gequert ist. Zurecht hat die Vorinstanz erkannt, dass das Textelement des angefochtenen Zeichens als selbständiger Markenbestandteil erkannt wird und ihm eine Orientierungsfunktion am Markt zukomme. Ob vorliegend die grafischen Arbeiten am Zeichen lediglich zu vernachlässigbarem figurativem Beiwerk oder in der Tat, wie die Vorinstanz erwägt, zu kennzeichnungskräftigen Zeichenelementen geführt haben, kann somit offen bleiben. Mit drei Wortelementen ist das angefochtene Zeichen in Optik und Aussprache wesentlich länger als dasjenige der Beschwerdeführerin. Wie die Beschwerdeführerin richtig ausführt, sticht das Element "Clinique" im angefochtenen Zeichen indessen hervor, weil es zusammen mit "Derma" grösser gedruckt ist als die übrigen Wortbestandteile. Von "Derma" wiederum grenzt es sich durch eine abweichende Schriftauszeichnung ab. Im Übrigen zieht die auffällig gestaltete Schleife des "Q" den Fokus der Betrachter zusätzlich auf den Wortbereich "Clinique" des Zeichens. Während "Clinique" das französische Wort für "Klinik" ist, kommt "Derma" aus dem Griechischen und steht für "Haut" (Langenscheidt. Handwörterbuch Französisch, Teil 1 Französisch - Deutsch, 2006, Schlagwort "clinique"; DUDEN. Das Fremdwörterbuch, Duden Bd. 5, 10. Aufl. 2010, Schlagwort "Derma"). Einerseits sind "Clinique" und "Klinik" klanglich beinahe und optisch entfernt deckungsgleich (vgl. italienisch: "clinica"). "Derma" andererseits hat über Worte wie "Dermatologe" oder "dermatologisch", das auf vielen Cremen steht, in seiner Bedeutung für "Haut" Eingang in die Landessprachen der Schweiz gefunden (vgl. auch französisch: "dermatoloque", "dermatologique"; italienisch: "dermatologo", "dermatologico"). Diese Wortbedeutungen dürfen bei den massgeblichen Verkehrskreisen daher ohne weiteres als bekannt vorausgesetzt werden; der Sinngehalt "Klinik für die Haut" ("clinica della pelle") wird im Begriff "Dermaclinique" erkannt. Das einzige Element der Widerspruchsmarke, das Wort "Clinique", lässt Assoziationen zu verschiedenen Typen von Kliniken zu, mit anderen Worten auch zu einer "Klinik für die Haut", welche im Rahmen einer "Beauty Farm" betrieben wird. Die sinngehaltlichen Verwandtschaften der beiden Zeichen sowie die phonetischen und visuellen Ähnlichkeiten sind somit offensichtlich. Sie lassen sich, wie die Vorinstanz treffend ausführt, durch die grafischen Elemente des angefochtenen Zeichens nicht überdecken. Somit ist von einer Ähnlichkeit der beiden Zeichen auszugehen.</w:t>
      </w:r>
    </w:p>
    <w:p>
      <w:r>
        <w:rPr>
          <w:b/>
        </w:rPr>
        <w:t>E. 7</w:t>
      </w:r>
    </w:p>
    <w:p>
      <w:r>
        <w:t>In einem letzten Prüfungsschritt ist die Verwechslungsgefahr zwischen der Widerspruchs- und der angefochtenen Marke zu beurteilen.</w:t>
      </w:r>
    </w:p>
    <w:p>
      <w:r>
        <w:rPr>
          <w:b/>
        </w:rPr>
        <w:t>E. 7.1</w:t>
      </w:r>
    </w:p>
    <w:p>
      <w:r>
        <w:t>Die Vorinstanz geht wegen der Identität der Waren der Klasse 3, für welche die Marken Schutz beanspruchen, und der Gleichartigkeit eines Teil der Dienstleistungen der Klasse 44, für welche die angefochtene Marke registriert ist, von einem besonders strengen Massstab zur Beurteilung der Verwechslungsgefahr aus. Ferner hält sie fest, dass der Schutzbereich einer Marke - auch einer starken - durch die Sphäre des Gemeinguts begrenzt sei. Der Begriff "Dermaclinique" sei für die hier interessierenden Waren und Dienstleistungen direkt beschreibend und gehöre deshalb zum Gemeingut. Somit könne sich der Schutzbereich der Widerspruchsmarke nicht auf den Bestandteil "Clinique" von "Dermaclinique" erstrecken. Eine Verwechslungsgefahr sei zu verneinen. Die Beschwerdeführerin rügt, die Vorinstanz verkenne den Schutzbereich der - durchgesetzten - Widerspruchsmarke. Deren Bekanntheit und Kennzeichnungsstärke bewirke, dass sich der Markenschutz auch auf das gemeinfreie Element "Clinique" der angefochtenen Marke erstrecke. Somit liege eine unmittelbare beziehungsweise zumindest eine mittelbare Verwechslungsgefahr der beiden Marken vor. In ihren vorinstanzlichen Ausführungen kommt die Beschwerdegegnerin unter Bezugnahme auf ihre Ausführungen zu den massgeblichen Verkehrskreisen, zum Vergleich der Waren und Dienstleistungen sowie zur Zeichenähnlichkeit zum Schluss, dass keine Verwechslungsgefahr vorliege. Ausserdem könne sich der Schutzbereich der Widerspruchsmarke, gerade weil sie sich für ein zum Gemeingut gehörendes Wort im Verkehr durchgesetzt habe, einzig auf exakt diejenigen Waren erstrecken, für die sie beansprucht werde.</w:t>
      </w:r>
    </w:p>
    <w:p>
      <w:r>
        <w:rPr>
          <w:b/>
        </w:rPr>
        <w:t>E. 7.2</w:t>
      </w:r>
    </w:p>
    <w:p>
      <w:r>
        <w:t>Die Rekurskommission für Geistiges Eigentum (RKGE) hat in einem Entscheid 1997 festgehalten, es sei notorisch, dass die Marke CLINIQUE beim angesprochenen (weiblichen) Publikum sehr bekannt sei und damit den erhöhten Schutzumfang einer starken Marke verdiene (Entscheid der RKGE MA WI 42/96 vom 10. Oktober 1997, sic! 1997, E. 3 "Clinique/Unique frisch Kosmetik [fig.]"). An dieser Einschätzung hat sich bis heute nur wenig geändert. Vielmehr darf als gerichtsnotorisch gelten, dass sich zwischenzeitlich auch ein männliches Publikum zu Hygiene, Schönheit und damit kosmetischer Pflege bekennt und CLINIQUE kennt. In Bezug auf die massgeblichen Verkehrskreise (vgl. E. 4) ist damit der Widerspruchsmarke für die Waren der Klasse 3, für die sie rechterhaltend gebraucht worden ist, der Schutzbereich einer starken Marke zuzuerkennen.</w:t>
      </w:r>
    </w:p>
    <w:p>
      <w:r>
        <w:rPr>
          <w:b/>
        </w:rPr>
        <w:t>E. 7.3</w:t>
      </w:r>
    </w:p>
    <w:p>
      <w:r>
        <w:t>Wie die Vorinstanz richtig ausführt, ist zwar der Schutzumfang einer Marke durch die Sphäre des Gemeinguts begrenzt (vgl. E. 3.7; Urteile des BVGer B 5179/2012 vom 20. Mai 2014 E. 6.3 "Tivo/Tivù Sat HD [fig.]"; B 5874/2011 vom 4. März 2013 E. 4.2 "Gadovist/Gadogita"). Diese Grenze kann indessen erst bei vollkommen im Gemeingut stehenden und rein beschreibenden Begriffen und nicht bereits bei jedem teilweise beschreibenden Sinngehalt erreicht sein, welcher die Unterscheidungskraft der Marke nur schwächt oder etwas beeinträchtigt. Unterscheidungsschwache Elemente einer Marke würden andernfalls weggestrichen, der Zeichenvergleich würde sich sonst in einer mosaikartig auf einzelne Bausteine reduzierten Betrachtung verlieren und die Wechselwirkungen der Markenbestandteile im integrierten Wahrnehmungsverständnis der Verkehrskreise wie auch den massgeblichen Gesamteindruck der Marke ausser Acht lassen (BGE 78 II 379 E. 4 "Alucol/Aludrox"; 70 II 188 E. 3 "Figor/Cafidor"; Urteil des BVGer B 5179/2012 vom 20. Mai 2014 E. 6.3 "Tivo/Tivù Sat HD [fig.]"). Eine derart unmittelbare und ausschliesslich beschreibende Wirkung hat der Bestandteil "Clinique" beziehungsweise "Dermaclinique" der angefochtenen Marke für die hier in Frage stehenden Waren der Klasse 3 und Dienstleistungen der Klasse 44 nicht.</w:t>
      </w:r>
    </w:p>
    <w:p>
      <w:r>
        <w:rPr>
          <w:b/>
        </w:rPr>
        <w:t>E. 7.4</w:t>
      </w:r>
    </w:p>
    <w:p>
      <w:r>
        <w:t>Im Übrigen hat sich das Zeichen der Beschwerdeführerin - als ein ursprünglich gemeinfreier Begriff - im Verkehr als Marke durchgesetzt. Für den Begriff "Clinique" geniesst es damit Markenschutz, soweit identische oder gleichartige Waren und Dienstleistungen sowie ähnliche Zeichen betroffen sind. Entschiede man, wie die Vorinstanz dies tut, anders, würde der einem gemeinfreien Begriff - bei gegebenen Voraussetzungen - zustehende Schutz einer durchgesetzten Marke untergraben.</w:t>
      </w:r>
    </w:p>
    <w:p>
      <w:r>
        <w:rPr>
          <w:b/>
        </w:rPr>
        <w:t>E. 7.5</w:t>
      </w:r>
    </w:p>
    <w:p>
      <w:r>
        <w:t>Der Vergleich der Waren und Dienstleistungen sowie die Zeichenähnlichkeit führen im vorliegenden Fall somit dazu, dass mit Blick auf die massgeblichen Verkehrskreise eine Verwechslungsgefahr zu bejahen ist. Von einer Verwechslungsgefahr nicht erfasst sind indessen die als andersartig beurteilten Dienstleistungen "servizi di sauna, servizi di centri dimagranti, servizi di solarium; bagni turchi; servizi di bagni termali; fisioterapia e massaggi, servizi medici" der Klasse 44, für welche die angefochtene Marke beansprucht wird.</w:t>
      </w:r>
    </w:p>
    <w:p>
      <w:r>
        <w:rPr>
          <w:b/>
        </w:rPr>
        <w:t>E. 7.6</w:t>
      </w:r>
    </w:p>
    <w:p>
      <w:r>
        <w:t>Offen gelassen werden kann vor diesem Hintergrund, ob die von der Beschwerdeführerin behauptete grafische Anlehnung der angefochtenen Marke an die Widerspruchsmarke, wie sie im Verkehr tatsächlich gebraucht wird, gegeben ist und ob eine solche einen Einfluss auf das hier gefundene Ergebnis hätte.</w:t>
      </w:r>
    </w:p>
    <w:p>
      <w:r>
        <w:rPr>
          <w:b/>
        </w:rPr>
        <w:t>E. 8</w:t>
      </w:r>
    </w:p>
    <w:p>
      <w:r>
        <w:t>Sodann verweist die Beschwerdegegnerin im vorinstanzlichen Verfahren auf Gerichtsurteile aus Italien, in welchen die gleichen Zeichen wie vorliegend zu würdigen waren. Massgebend zur Beurteilung der relativen Ausschlussgründe nach Art. 3 MSchG sind indes einzig die hiesigen Verhältnisse. Die angeführte Rechtsprechung der Mailänder Gerichte ändert somit am vorliegenden Ergebnis nichts.</w:t>
      </w:r>
    </w:p>
    <w:p>
      <w:r>
        <w:rPr>
          <w:b/>
        </w:rPr>
        <w:t>E. 9</w:t>
      </w:r>
    </w:p>
    <w:p>
      <w:r>
        <w:t>Die Beschwerde erweist sich demzufolge als teilweise begründet, so dass sie teilweise gutzuheissen ist, Ziff. 1 und 3 der Verfügung der Vorinstanz vom 29. Oktober 2013 aufzuheben und im Sinne der vorstehenden Erwägungen und des Ausgangs des Beschwerdeverfahrens neu zu formulieren sind. Die Kosten des vorinstanzlichen und des Beschwerdeverfahrens sind, da beide Parteien ungefähr zur Hälfte obsiegen, beiden Seiten zu gleichen Teilen aufzuerlegen und die Parteikosten, auch für das vor-instanzliche Verfahren, sind wettzuschlagen (Art. 63 Abs. 1, Art. 64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mit Hinweisen "Turbinenfuss [3D]"; Urteil des BGer 4A.161/2007 vom 18. Juli 2007 E. 2 mit Hinweisen "We make ideas work"; Urteil des BVGer B 3416/2011 vom 17. Februar 2012 E. 8.1 "Life [fig.]/Mylife [fig.]"). Von diesem Erfahrungswert ist auch vorliegend auszugehen. Nach dem Gesagten rechtfertigt es sich, die Kosten für das Beschwerdeverfahren unter Berücksichtigung des Aufwandes für die Durchführung einer öffentlichen Verhandlung auf Fr. 5'000.- festzulegen.</w:t>
      </w:r>
    </w:p>
    <w:p>
      <w:r>
        <w:rPr>
          <w:b/>
        </w:rPr>
        <w:t>E. 10</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