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B-6767/2007 vom 16. Dezember 2009</w:t>
      </w:r>
    </w:p>
    <w:p>
      <w:r>
        <w:t>Bundesverwaltungsgericht, 2009-12-16, DE</w:t>
      </w:r>
    </w:p>
    <w:p>
      <w:r>
        <w:rPr>
          <w:b/>
        </w:rPr>
        <w:t xml:space="preserve">Quelle: </w:t>
      </w:r>
      <w:r>
        <w:t>https://mcp.opencaselaw.ch/entscheid/bvger_B-6767_2007</w:t>
      </w:r>
    </w:p>
    <w:p>
      <w:r>
        <w:t>FR: TAF B-6767/2007 du 16 décembre 2009</w:t>
      </w:r>
    </w:p>
    <w:p>
      <w:r>
        <w:t>IT: TAF B-6767/2007 del 16 dicembre 2009</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d VGG). Die Beschwerde wurde in der gesetzlichen Frist von Art. 50 Abs. 1 VwVG am 5. Oktober 2007 eingereicht und der verlangte Kostenvorschuss rechtzeitig geleistet. Als Adressatin der angefochtenen Verfügung ist die Beschwerdeführerin zur Beschwerde legitimiert (Art. 48 VwVG). Auf die Beschwerde ist daher einzutreten.</w:t>
      </w:r>
    </w:p>
    <w:p>
      <w:r>
        <w:rPr>
          <w:b/>
        </w:rPr>
        <w:t>E. 2</w:t>
      </w:r>
    </w:p>
    <w:p>
      <w:r>
        <w:t>Zeichen sind vom Markenschutz ausgeschlossen, wenn sie einer älteren Marke ähnlich und für gleiche oder gleichartige Waren oder Dienstleistungen registriert sind, so dass sich daraus eine Verwechslungsgefahr ergibt (Art. 3 Abs. 1 Bst. c des Bundesgesetzes vom 28. August 1992 über den Schutz von Marken und Herkunftsangaben [MSchG, SR 232.11]).</w:t>
      </w:r>
    </w:p>
    <w:p>
      <w:r>
        <w:rPr>
          <w:b/>
        </w:rPr>
        <w:t>E. 2.1</w:t>
      </w:r>
    </w:p>
    <w:p>
      <w:r>
        <w:t>Eine Verwechslungsgefahr besteht, wenn aufgrund der Ähnlichkeit der Marken Fehlzurechnungen zu befürchten sind, welche das besser berechtigte Zeichen in seiner Individualisierungsfunktion beeinträchtigen (BGE 127 III 166 E. 2a Securitas). Dabei ist nicht nur von einer Verwechslungsgefahr auszugehen, wenn die angesprochenen Verkehrskreise zwei Marken nicht auseinander zu halten vermögen (sogenannte unmittelbare Verwechslungsgefahr), sondern auch dann, wenn sie die Zeichen zwar auseinander halten können, aufgrund der Markenähnlichkeit aber unzutreffende Zusammenhänge vermuten - insbesondere an Serienmarken denken, die verschiedene Produktlinien ein und desselben Unternehmens oder verschiedener, wirtschaftlich miteinander verbundener Unternehmen kennzeichnen (sogenannte mittelbare Verwechslungsgefahr; BGE 128 III 445 E. 3.1 Appenzeller; BGE 122 III 384 E. 1 Kamillosan; je mit Hinweisen). Die Beurteilung von Art. 3 Abs. 1 MSchG richtet sich nach dem Registereintrag der Marken (Urteile des Bundesverwaltungsgerichts B-5325/2007 vom 12. November 2007 E. 3 Adwista mit Hinweisen, B-7475/2006 vom 20. Juni 2007 E. 5 All Star [Stern] [fig.]).</w:t>
      </w:r>
    </w:p>
    <w:p>
      <w:r>
        <w:rPr>
          <w:b/>
        </w:rPr>
        <w:t>E. 2.2</w:t>
      </w:r>
    </w:p>
    <w:p>
      <w:r>
        <w:t>Die Verwechslungsgefahr zweier Marken ist nicht aufgrund eines abstrakten Zeichenvergleichs, sondern stets vor dem Hintergrund der gesamten Umstände zu beurteilen. Es kommt einerseits auf den Umfang des Ähnlichkeitsbereichs an, dessen Schutz der Inhaber der älteren Marke beanspruchen kann, und anderseits auf die Waren und Dienstleistungen, für welche die sich gegenüberstehenden Marken hinterlegt sind (BGE 122 III 385 E. 1 Kamillosan). Zwischen der Zeichenähnlichkeit und der Warengleichartigkeit besteht eine Wechselwirkung (LUCAS DAVID, in: Kommentar zum Schweizerischen Privatrecht, Markenschutzgesetz Muster- und Modellgesetz, 2. Auflage, Basel 1999, Art. 3 MSchG N. 8): 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320 E. 6b/bb Apiella, BGE 122 III 387 f. E. 3a Kamillosan, Urteil des Bundesgerichts 4C.258/2004 vom 6. Oktober 2004 E. 2.3 Yello mit Hinweisen).</w:t>
      </w:r>
    </w:p>
    <w:p>
      <w:r>
        <w:rPr>
          <w:b/>
        </w:rPr>
        <w:t>E. 2.3</w:t>
      </w:r>
    </w:p>
    <w:p>
      <w:r>
        <w:t>Die Zeichenähnlichkeit beurteilt sich nach dem Gesamteindruck, den die Marken im Erinnerungsbild der angesprochenen Verkehrskreise hinterlassen (BGE 121 III 378 E. 2a Boss, BGE 119 II 475 E. 2c Radion mit Hinweisen). Der Gesamteindruck wird bei Wortmarken durch den Klang, das Schriftbild und den Sinngehalt bestimmt. Bereits die Nähe auf einer der genannten Beurteilungsebenen kann genügen, um auf Zeichenähnlichkeit zu schliessen (EUGEN MARBACH, Markenrecht, in: Roland von Büren / Lucas David [Hrsg.], Schweizerisches Immaterialgüter- und Wettbewerbsrecht, Bd. III/1, Basel 2009, N. 875).</w:t>
      </w:r>
    </w:p>
    <w:p>
      <w:r>
        <w:rPr>
          <w:b/>
        </w:rPr>
        <w:t>E. 2.4</w:t>
      </w:r>
    </w:p>
    <w:p>
      <w:r>
        <w:t>Der anzuwendende Massstab bei der Beurteilung der Zeichenähnlichkeit hängt vom Schutzbereich der älteren Marke ab. Der Schutzbereich einer Marke bestimmt sich nach ihrer Unterscheidungskraft; er ist eingeschränkter für die schwachen als für die starken Marken. Bei schwachen Marken genügen daher schon bescheidenere Abweichungen, um eine hinreichende Unterscheidbarkeit zu schaffen. Schwach sind insbesondere Marken, deren prägende Elemente beschreibenden Charakter haben. Dagegen gelten Fantasiemarken, die mit einem gewissen Aufwand an Arbeit und Kreativität geschaffen wurden, als stark (vgl. BGE 122 III 385 E. 2a Kamillosan mit Hinweisen). Der Schutzumfang jeder Marke wird schliesslich durch die Sphäre des Gemeinguts begrenzt, denn was markenrechtlich gemeinfrei ist, steht dem Verkehr zur freien Verwendung zu. Hieraus ergibt sich eine Beschränkung des Schutzumfangs von Marken, welche einem im Gemeingut stehenden Wort ähnlich sind. Solche Marken können zwar gültig sein, doch bewirkt die Verwendung eines Gemeingutbestandteils ohne weitere Übereinstimmungen noch keine Verwechslungsgefahr (Urteil des Bundesverwaltungsgerichts B-3508/2008 E. 9.1 KaSa K97 [fig.] / biocasa [fig.] mit Hinweisen).</w:t>
      </w:r>
    </w:p>
    <w:p>
      <w:r>
        <w:rPr>
          <w:b/>
        </w:rPr>
        <w:t>E. 3</w:t>
      </w:r>
    </w:p>
    <w:p>
      <w:r>
        <w:t>Das vorliegende Beschwerdeverfahren beschränkt sich auf die von der angefochtenen Marke beanspruchten Waren der Klassen 14 und 18. Die Widerspruchsmarke ist dabei für die gleichen Waren hinterlegt. Unbestrittenermassen liegt entsprechend Warenidentität vor.</w:t>
      </w:r>
    </w:p>
    <w:p>
      <w:r>
        <w:rPr>
          <w:b/>
        </w:rPr>
        <w:t>E. 4</w:t>
      </w:r>
    </w:p>
    <w:p>
      <w:r>
        <w:t>Vor einem Vergleich der sich gegenüberstehenden Zeichen ist der Schutzumfang der Widerspruchsmarke "LA CITY" zu bestimmen (vgl. E. 2.4).</w:t>
      </w:r>
    </w:p>
    <w:p>
      <w:r>
        <w:rPr>
          <w:b/>
        </w:rPr>
        <w:t>E. 4.1</w:t>
      </w:r>
    </w:p>
    <w:p>
      <w:r>
        <w:t>Die streitgegenständlichen Zeichen sind beides Wortmarken, die das Element "City" enthalten. "City" entstammt dem Englischen (auf Latein civitas; Concise Dictionary Of English Etymology, Oxford 2003, S. 78). Es bedeutet auf Deutsch "(Groß)Stadt", "City (Altstadt od. Geschäftsviertel od. Geschäftswelt)" (Langenscheidts Handwörterbuch Englisch, Berlin und München 2005, S. 106) sowie "Innenstadt, Stadtzentrum, Ort, Wohnort" (http://dict.leo.org/). "CITY" ist ein Wort mit Bedeutungsgehalt, der von erwachsenen Personen als massgebendem Publikum verstanden wird, weshalb es von vornherein nicht denselben Schutzumfang wie beispielsweise eine Fantasiebezeichnung geniesst. Auch in Verbindung mit dem Bestandteil "LA", der als weiblicher französischer oder italienischer Artikel verstanden werden dürfte, kommt der Widerspruchsmarke kein starker Schutz zu - selbst wenn die Kombination zwischen einem englischem Wort und einem anderssprachigen Artikel ungewöhnlich erscheinen mag. Nicht gefolgt werden kann der Auffassung, "LA" würde als geografische Herkunftsbezeichnung im Sinne einer Abkürzung für die Stadt Los Angeles gelten, so dass die Widerspruchsmarke als "Los Angeles City" verstanden würde. Naheliegender als die hierzulande wenig gebräuchlichen Abkürzungen US-amerikanischer Gliedstaaten ist, dass "LA" ohne Punkte als französischer oder italienischer Artikel gelesen wird, währenddem erst die Abkürzung "L.A." deutlich auf Los Angeles hindeuten würde.</w:t>
      </w:r>
    </w:p>
    <w:p>
      <w:r>
        <w:rPr>
          <w:b/>
        </w:rPr>
        <w:t>E. 4.2</w:t>
      </w:r>
    </w:p>
    <w:p>
      <w:r>
        <w:t>Die Beschwerdeführerin macht geltend, "CITY" sei nicht nur für Waren der Klassen 25, sondern auch für jene der Klassen 14 und 18 beschreibend, weshalb ihr ein nur schwacher Schutzbereich zuerkannt werden könne. Beschreibende Zeichen fallen unter freihaltebedürftiges Gemeingut; sie bezeichnen die Art, die Beschaffenheit, den Wert oder sonstige Merkmale der Waren oder Dienstleistungen; bloss assoziative Anspielungen sind hingegen zulässig (MARBACH, a.a.O., N. 282 f.). Bei bestimmten Waren der Klassen 14 und 18 in Verbindung mit dem Wort "CITY" und seinem vorerwähnten Sinngehalt - so insbesondere bei Accessoires wie Taschen oder Schmuck - kann das Publikum eine gewisse Erwartungshaltung haben. Beispielsweise wird erwartet, dass eine mit "CITY" bezeichnete Tasche nicht für eine Bergtour, sondern für den Gebrauch in der Stadt bestimmt ist. Allerdings können die erwarteten Eigenschaften eines solchen Produkts sehr stark variieren: Für den einen muss eine Stadt-Tasche möglichst praktisch für öffentliche Verkehrsmittel und sicher vor Taschendieben sein, für den anderen geht es um ein gutes Aussehen. Die hier zur Frage stehenden Waren wie Schmuckstücke, Uhren, Schirme, Koffer, vor allem aber auch Spazierstöcke und Peitschen mit der Bezeichnung "CITY" können nicht eindeutig auf eine bestimmte Art oder einen bestimmten Stil bezogen werden. Es ist nicht ersichtlich, inwieweit sich der Gebrauch für die Stadt von anderweitigem Gebrauch signifikant und eindeutig unterscheiden könnte. Gerade für die vom Widerspruch betroffenen Reiseartikel ist das Mitnehmen von einem Ort an einen anderen wesenstypisch. Daran ändert nichts, dass am Markt unter dem Titel "City-Linie" Kleider und dazu passende Accessoires angeboten werden. Eine direkt und ohne Zuhilfenahme der Fantasie beschreibende Beschaffenheitsangabe ist deshalb sowohl für die beanspruchten Waren der Klasse 14 wie auch jene der Klasse 18 in der streitgegenständlichen Marke nicht zu sehen. Die Bezeichnung "CITY" ist für die genannten Waren zu unbestimmt und beschreibt diese nicht ohne dass ein besonderer Fantasie- oder Denkaufwand nötig ist (BGE 128 III 457 f. E. 2.1 Yukon, Urteil des Bundesgerichts vom 10. September 1998 in sic! 1999 S. 29 E. 3 Swissline, je mit Hinweisen).</w:t>
      </w:r>
    </w:p>
    <w:p>
      <w:r>
        <w:rPr>
          <w:b/>
        </w:rPr>
        <w:t>E. 4.3</w:t>
      </w:r>
    </w:p>
    <w:p>
      <w:r>
        <w:t>Der Schutzumfang einer Marke ist des Weiteren geringer, wenn bereits sehr viele ähnliche Zeichen bestehen (MARBACH, a.a.O., N. 982 mit Hinweis auf RKGE in sic! 2006 S. 340 E.10 f. s.Oliver / Olivia). Unter Beilegung von Ergebnissen einer Registersuche bringt die Beschwerdeführerin vor, im Schweizerischen Markenregister seien zahlreiche Marken mit dem Bestandteil "CITY" für die Klassen 14 und/oder 18 eingetragen. Die Vorinstanz und die Beschwerdegegnerin weisen in diesem Zusammenhang aber zu Recht darauf hin, dass nicht lediglich aufgrund der Registerlage auf eine Schwächung oder Verwässerung einer bestimmten Marke geschlossen werden darf, weil grundsätzlich nur die auf dem Markt wirklich gebrauchten Marken der Abnehmerschaft bekannt werden und weil erfahrungsgemäss nicht alle eingetragenen Marken in Gebrauch kommen (RKGE in sic! 1999 S. 648 E. 6 Wave Rave / theWave). Eine Registerrecherche ist deshalb nicht ohne Weiteres massgebend für das Vorliegen einer Verwässerung (Urteil des Bundesverwaltungsgerichts B-7468/2006 vom 6. September 2007 Seven (fig.) / Seven for all mankind). Selbst wenn indessen anzunehmen wäre, dass "CITY" aufgrund häufigen Gebrauchs verwässert wäre - was die Beschwerdegegnerin nach Analyse der von der Beschwerdeführerin gefundenen Treffern bezweifelt - könnte daraus noch nicht geschlossen werden, dass die Widerspruchsmarke als Ganzes verwässert wäre und insofern an Kennzeichnungskraft eingebüsst hätte.</w:t>
      </w:r>
    </w:p>
    <w:p>
      <w:r>
        <w:rPr>
          <w:b/>
        </w:rPr>
        <w:t>E. 4.4</w:t>
      </w:r>
    </w:p>
    <w:p>
      <w:r>
        <w:t>Der Beurteilung der Vorinstanz, "CITY" geniesse für die genannten Waren der Klassen 14 und 18 einen durchschnittlichen Schutzumfang, ist aus den genannten Gründen zuzustimmen. Die Kennzeichnungskraft von "CITY" ist hier entsprechend gegeben.</w:t>
      </w:r>
    </w:p>
    <w:p>
      <w:r>
        <w:rPr>
          <w:b/>
        </w:rPr>
        <w:t>E. 5</w:t>
      </w:r>
    </w:p>
    <w:p>
      <w:r>
        <w:t>Ein Vergleich der sich gegenüberstehenden Zeichen ergibt, dass sich diese lediglich in den beiden Anfangsbestandteilen "LA" und "T-" unterscheiden. Es fragt sich, ob dieser Unterschied reicht, um eine Verwechslungsgefahr im Gesamteindruck auszuschliessen.</w:t>
      </w:r>
    </w:p>
    <w:p>
      <w:r>
        <w:rPr>
          <w:b/>
        </w:rPr>
        <w:t>E. 5.1</w:t>
      </w:r>
    </w:p>
    <w:p>
      <w:r>
        <w:t>Die beiden Zusätze "LA" und "T-" sind sehr kurz, womit das Wort "CITY" bei beiden Zeichen das prägende (und kennzeichnende) Hauptelement ausmacht. Bei der Übernahme des prägnanten Hauptbestandteils muss sich der Sinngehalt, das Schriftbild oder der Klang des jüngeren Zeichens durch das hinzugefügte Element verändern.</w:t>
      </w:r>
    </w:p>
    <w:p>
      <w:r>
        <w:rPr>
          <w:b/>
        </w:rPr>
        <w:t>E. 5.2</w:t>
      </w:r>
    </w:p>
    <w:p>
      <w:r>
        <w:t>Eine Gemeinsamkeit zwischen "LA" und "T-" besteht insoweit, als dass beide Elemente aus zwei Buchstaben bzw. Zeichen bestehen. Bei der Widerspruchsmarke findet sich nach den Buchstaben "LA" jedoch ein Leerschlag, während sich der Buchstabe "T" mit einem Bindestrich vom Wort "CITY" abtrennt. Zudem sind sich die beiden Zusätze weder in ihrem weiteren Schriftbild noch in ihrem Klang (ob englisch oder deutsch ausgesprochen) ähnlich. Des Weiteren ist die Verwendung von "T" sowohl mit Bindestrich wie auch in Alleinstellung nicht geläufig als Abkürzung für den englischen Artikel "The", dem der gleiche Sinngehalt wie dem französischen oder italienischen "La" zukommen würde. Schliesslich wird "T-" vom schweizerischen Publikum nicht als Symbol für die Deutsche Telekom verstanden.</w:t>
      </w:r>
    </w:p>
    <w:p>
      <w:r>
        <w:rPr>
          <w:b/>
        </w:rPr>
        <w:t>E. 5.3</w:t>
      </w:r>
    </w:p>
    <w:p>
      <w:r>
        <w:t>Selbst wenn sich die Bestandteile "LA" und "T-" nicht ähneln, sind die Zusätze jedoch nicht geeignet, das in Erinnerung haften bleibende Element "CITY" der beiden Marken zu überdecken. Insbesondere ist im Bestandteil "T" oder "T-" ein nur schwaches Element zu sehen, dem keine wesentliche Unterscheidungskraft zukommt. Bei Identität der Produkte müsste sich die neuere Marke weitergehend abgrenzen als vorliegend gegeben. Gesamthaft bleiben sich die beiden Marken somit ähnlich, da beide aus zwei Bestandteilen bestehen und nur kurze, nicht kennzeichnungskräftige Elemente dem Wort "CITY" vorangestellt sind. Eine zumindest mittelbare Verwechslungsgefahr zwischen den beiden Zeichen kann nicht beseitigt werden. Die Zeichenähnlichkeit und damit eine Verwechslungsgefahr ist folglich gegeben.</w:t>
      </w:r>
    </w:p>
    <w:p>
      <w:r>
        <w:rPr>
          <w:b/>
        </w:rPr>
        <w:t>E. 6</w:t>
      </w:r>
    </w:p>
    <w:p>
      <w:r>
        <w:t>Die Beschwerdegegnerin ist der Meinung, die angefochtene Marke "T-City" sei aufgrund der umfangreichen Registrierung in sämtlichen 45 Warenklassen als reine Defensivmarke und damit als nichtig zu qualifizieren.</w:t>
      </w:r>
    </w:p>
    <w:p>
      <w:r>
        <w:rPr>
          <w:b/>
        </w:rPr>
        <w:t>E. 6.1</w:t>
      </w:r>
    </w:p>
    <w:p>
      <w:r>
        <w:t>Die Nichtigkeit einer Marke bildet nicht Gegenstand des Widerspruchsverfahrens (RKGE in sic! 2002 S. 524 f. E. 2 f. Joker [fig.] / Joker [fig.]). Im Übrigen besteht für das Zeichen der Beschwerdeführerin eine genaue Auswahl aus dem Waren- und Dienstleistungsverzeichnis. Ein breites Waren- und Dienstleistungsverzeichnis bedeutet nicht ohne weiteres eine rein defensive Haltung des Hinterlegers (Marbach, a.a.O., N. 1439).</w:t>
      </w:r>
    </w:p>
    <w:p>
      <w:r>
        <w:rPr>
          <w:b/>
        </w:rPr>
        <w:t>E. 7</w:t>
      </w:r>
    </w:p>
    <w:p>
      <w:r>
        <w:t>Bei diesem Ausgang des Verfahrens wird die Beschwerdeführerin kosten- und entschädigungspflichtig (Art. 63 Abs. 1 und Art. 64 Abs. 1 VwVG).</w:t>
      </w:r>
    </w:p>
    <w:p>
      <w:r>
        <w:rPr>
          <w:b/>
        </w:rPr>
        <w:t>E. 7.1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Aufgrund des vorliegend anzunehmenden Streitwerts werden die Verfahrenskosten auf Fr. 4'000.- festgelegt.</w:t>
      </w:r>
    </w:p>
    <w:p>
      <w:r>
        <w:rPr>
          <w:b/>
        </w:rPr>
        <w:t>E. 7.2</w:t>
      </w:r>
    </w:p>
    <w:p>
      <w:r>
        <w:t>Die Beschwerdegegnerin hat im Beschwerdeverfahren keine Kostennote eingereicht. Die Parteientschädigung ist daher nach Art. 14 Abs. 2 Satz 2 VGKE auf Grund der Akten festzusetzen. In Würdigung der eingereichten Beschwerdeantwort und der Duplik erscheint eine Parteientschädigung von Fr. 3'000.- (exkl. MWST) angemessen. Die Mehrwertsteuer ist nur für Dienstleistungen geschuldet, die im Inland gegen Entgelt erbracht werden, nicht jedoch im vorliegenden Fall, in dem die Dienstleistung der Rechtsvertreterin der Beschwerdegegnerin mit Wohnsitz im Ausland erbracht worden ist (Art. 5 Bst. b in Verbindung mit Art. 14 Abs. 3 Bst. c des Bundesgesetzes vom 2. September 1999 über die Mehrwertsteuer [Mehrwertsteuergesetz, MWSTG, SR 641.20] und Art. 9 Abs. 1 Bst. c VGKE).</w:t>
      </w:r>
    </w:p>
    <w:p>
      <w:r>
        <w:rPr>
          <w:b/>
        </w:rPr>
        <w:t>E. 8</w:t>
      </w:r>
    </w:p>
    <w:p>
      <w:r>
        <w:t>Gegen dieses Urteil ist keine Beschwerde ans Bundesgericht möglich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