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B-6759/2019 vom 13. Oktober 2020</w:t>
      </w:r>
    </w:p>
    <w:p>
      <w:r>
        <w:t>Bundesverwaltungsgericht, 2020-10-13, DE</w:t>
      </w:r>
    </w:p>
    <w:p>
      <w:r>
        <w:rPr>
          <w:b/>
        </w:rPr>
        <w:t xml:space="preserve">Quelle: </w:t>
      </w:r>
      <w:r>
        <w:t>https://mcp.opencaselaw.ch/entscheid/bvger_B-6759_2019</w:t>
      </w:r>
    </w:p>
    <w:p>
      <w:r>
        <w:t>FR: TAF B-6759/2019 du 13 octobre 2020</w:t>
      </w:r>
    </w:p>
    <w:p>
      <w:r>
        <w:t>IT: TAF B-6759/2019 del 13 ottobre 2020</w:t>
      </w:r>
    </w:p>
    <w:p>
      <w:pPr>
        <w:pStyle w:val="Heading2"/>
      </w:pPr>
      <w:r>
        <w:t>Regeste</w:t>
      </w:r>
    </w:p>
    <w:p>
      <w:r>
        <w:t>Verfahrensfragen, Publikationen, usw.</w:t>
      </w:r>
    </w:p>
    <w:p>
      <w:pPr>
        <w:pStyle w:val="Heading2"/>
      </w:pPr>
      <w:r>
        <w:t>Erwägungen</w:t>
      </w:r>
    </w:p>
    <w:p>
      <w:r>
        <w:rPr>
          <w:b/>
        </w:rPr>
        <w:t>E. 1.1</w:t>
      </w:r>
    </w:p>
    <w:p>
      <w:r>
        <w:t>Entscheidet das Bundesverwaltungsgericht als erste Instanz auf Klage hin, so richtet sich das Klageverfahren gemäss Art. 44 Abs. 1 des Verwaltungsgerichtsgesetztes vom 17. Juni 2005 (VGG, SR 173.32) nach den Art. 3-73 und 79-85 des Bundesgesetzes vom 4. Dezember 1947 über den Bundeszivilprozess (BZP, SR 273), die sinngemäss zur Anwendung kommen (Moser/Beusch/Kneubühler, Prozessieren vor dem Bundesverwaltungsgericht, 2. A. 2013, Rz. 5.7).</w:t>
      </w:r>
    </w:p>
    <w:p>
      <w:r>
        <w:rPr>
          <w:b/>
        </w:rPr>
        <w:t>E. 1.2</w:t>
      </w:r>
    </w:p>
    <w:p>
      <w:r>
        <w:t>Das Bundesverwaltungsgericht prüft die Zulässigkeit der Klage von Amtes wegen (Art. 3 Abs. 1 BZP). Zu den Sachurteilsvoraussetzungen gehören nebst der Zuständigkeit des Bundesverwaltungsgerichts die Partei- und Prozessfähigkeit der Klägerin (Art. 14 BZP), ein aktuelles Rechtsschutzinteresse der Klägerin an einem gerichtlichen Entscheid über die Streitigkeit (Michael Merker, Die verwaltungsrechtliche Klage, in: Brennpunkte im Verwaltungsprozess, 2013, S. 108; vgl. auch Art. 72 BZP), die Einhaltung der Anforderungen an Form und Inhalt der Klageschrift i.S.v. Art. 23 BZP sowie die fristgerechte Zahlung des Kostenvorschusses durch die Klägerin (Art. 44 Abs. 3 VGG i.V.m. Art. 63 Abs. 4 des Verwaltungsverfahrensgesetzes vom 20. Dezember 1968 [VwVG, SR 172.021]).</w:t>
      </w:r>
    </w:p>
    <w:p>
      <w:r>
        <w:rPr>
          <w:b/>
        </w:rPr>
        <w:t>E. 2</w:t>
      </w:r>
    </w:p>
    <w:p>
      <w:r>
        <w:t>Die Klägerin ist im vorliegenden Klageverfahren partei- und prozessfähig (Art. 14 BZP) und ihr Vertreter hat das Vertretungsverhältnis durch schriftliche Vollmacht rechtsgenüglich ausgewiesen (Art. 18 BZP i.V.m. Art. 40 Abs. 2 des Bundesgesetzes über das Bundesgericht vom 17. Juni 2005 [BGG, SR 173.110]). Die Anforderungen an Form und Inhalt der Klageschrift sind ebenfalls gewahrt (Art. 23 BZP) und der Kostenvorschuss wurde fristgerecht geleistet (Art. 44 Abs. 3 VGG i.V.m. Art. 63 Abs. 4 VwVG).</w:t>
      </w:r>
    </w:p>
    <w:p>
      <w:r>
        <w:rPr>
          <w:b/>
        </w:rPr>
        <w:t>E. 3</w:t>
      </w:r>
    </w:p>
    <w:p>
      <w:r>
        <w:t>Ob die Rechtsbegehren der Klägerin, welche im Kern allesamt auf die Aufhebung bzw. Kürzung der Genehmigungs- bzw. Sanktionsverfügung abzielen, im verwaltungsrechtlichen Klageverfahren überhaupt zulässig sind, kann offen gelassen werden, da - wie sich auch den nachfolgenden Erwägungen ergibt - aus anderen Gründen nicht auf die Klage einzutreten ist (vgl. E. 4 ff. hiernach).</w:t>
      </w:r>
    </w:p>
    <w:p>
      <w:r>
        <w:rPr>
          <w:b/>
        </w:rPr>
        <w:t>E. 4.1</w:t>
      </w:r>
    </w:p>
    <w:p>
      <w:r>
        <w:t>Das Bundesverwaltungsgericht beurteilt auf Klage hin u.a. Streitigkeiten aus öffentlich-rechtlichen Verträgen des Bundes, seiner Anstalten und Betriebe sowie der Organisationen ausserhalb der Bundesverwaltung, die in Erfüllung ihnen übertragener öffentlich-rechtlicher Aufgaben des Bundes handeln (Art. 35 Bst. a i.V.m. Art. 33 Bst. h VGG). Die Klage ist hingegen unzulässig, wenn ein anderes Bundesgesetz die Erledigung des Streites einer in Art. 33 VGG erwähnten Behörde überträgt (Art. 36 VGG). Es gilt somit der Grundsatz der Subsidiarität der verwaltungsrechtlichen Klage. Dies bedeutet, dass nicht geklagt werden kann, wenn verfügt werden darf. Das Bundesverwaltungsgericht kommt in diesen Fällen somit nicht als Klageinstanz, sondern - falls die Verfügung bei gegebenen Voraussetzungen angefochten wird - als Beschwerdeinstanz zum Zug (Botschaft zur Totalrevision der Bundesrechtspflege vom 28. Februar 2001, BBl 2001 4202, 4392; Kölz/Häner/Bertschi, Verwaltungsverfahren und Verwaltungsrechtspflege des Bundes, 3. A. 2013, N 1212). Rechtsverhältnisse im öffentlichen Recht werden primär in der Form der Verfügung gestaltet, wobei der Rechtsschutz zwangsläufig an der Beschwerde ausgerichtet ist (nachträgliche Verwaltungsrechtspflege). Demgegenüber handelt es sich bei verwaltungsrechtlichen Klageverfahren um Verfahren der ursprünglichen Verwaltungsrechtspflege: Die Streitigkeit wird nicht mittels Verfügung einer erstinstanzlichen Verwaltungsbehörde entschieden, sondern direkt vor das zuständige Gericht gebracht, welches als erste Instanz den Sachverhalt zu ermitteln, den Prozessstoff zu bestimmen und schliesslich einen Entscheid in der Sache zu treffen hat (Kiener/Rütsche/Kuhn, Öffentliches Verfahrensrecht, 2. A. 2015, N 1178 ff.; Merker, a.a.O., S. 89).</w:t>
      </w:r>
    </w:p>
    <w:p>
      <w:r>
        <w:rPr>
          <w:b/>
        </w:rPr>
        <w:t>E. 4.2</w:t>
      </w:r>
    </w:p>
    <w:p>
      <w:r>
        <w:t>Die Beklagte bringt vor, das Bundesverwaltungsgericht sei wegen des Grundsatzes der Subsidiarität der verwaltungsrechtlichen Klage nicht zur Beurteilung der vorliegenden Klage zuständig. Gegenstand des vorliegenden Verfahrens sei nicht die materielle Beurteilung der Genehmigungs- bzw. Sanktionsverfügung, sondern lediglich deren Länge. Die Klägerin beantrage die Anfertigung einer gekürzten Verfügung, um allfällige Reputationsschäden bei der Publikation zu vermeiden. Bei der amtlichen Publikation handle es sich um tatsächliches Verwaltungshandeln. Streitigkeiten betreffend Form und Umfang der Veröffentlichung müssten grundsätzlich mittels Verfügung entschieden werden (Art. 25a VwVG, Art. 25 des Bundesgesetzes vom 19. Juni 1992 über den Datenschutz [DSG, SR 235.1]). Üblicherweise erlasse die Beklagte in der vorliegenden Konstellation eine Publikationsverfügung (Art. 25a VwVG i.V.m. Art. 18 Abs. 3 KG), welche beim Bundesverwaltungsgericht mit Beschwerde angefochten werden könne. Eine klageweise Durchsetzung des Kürzungsbegehrens sei somit ausgeschlossen.</w:t>
      </w:r>
    </w:p>
    <w:p>
      <w:r>
        <w:rPr>
          <w:b/>
        </w:rPr>
        <w:t>E. 4.3</w:t>
      </w:r>
    </w:p>
    <w:p>
      <w:r>
        <w:t>Die Klägerin vertritt demgegenüber die Auffassung, dass das Bundesverwaltungsgericht zur Beurteilung der Klage zuständig sei. Zwischen der Klägerin einerseits und der Beklagten und ihrem Sekretariat andererseits liege eine Streitigkeit über die Rechte und Pflichten aus der EVR vor, womit die Voraussetzungen von Art. 35 Bst. a VGG erfüllt seien. Namentlich habe das Sekretariat seine Verpflichtung aus Bst. b) der Vorbemerkungen der EVR, der Beklagten einen kurz begründeten Antrag zu stellen, verletzt. Durch die Genehmigung der EVR habe die Beklagte die Pflicht des Sekretariats zur Kurzbegründung übernommen. Auch sie habe diese Vertragspflicht verletzt. Die Beklagte scheine der Meinung zu sein, dass das KG ihr i.S.v. Art. 33 VGG die Kompetenz zuspreche, über Streitigkeiten betreffend die von ihrem Sekretariat abgeschlossenen und von ihr genehmigten einvernehmlichen Regelungen zu entscheiden, was gemäss Art. 36 VGG die Unzulässigkeit einer Klage zur Folge hätte. Das KG sehe jedoch keine solche Streitbeilegungsermächtigung vor. Art. 29 Abs. 2 KG lege bloss fest, dass einvernehmliche Regelungen der Genehmigung durch die WEKO bedürften. Dass die Beklagte das Verfahren durch ihre Verfügung beendet habe, qualifiziere sie keineswegs als Streitbeilegungsinstanz i.S.v. Art. 36 VGG.</w:t>
      </w:r>
    </w:p>
    <w:p>
      <w:r>
        <w:rPr>
          <w:b/>
        </w:rPr>
        <w:t>E. 4.4</w:t>
      </w:r>
    </w:p>
    <w:p>
      <w:r>
        <w:t>Zwischen den Parteien ist somit umstritten, ob die Beklagte über den Detaillierungsgrad bzw. den Umfang oder Inhalt der Veröffentlichung der Genehmigungsverfügung entscheiden kann und die Klage damit gemäss dem in Art. 36 VGG festgehaltenen und vorne erwähnten Grundsatz der Subsidiarität unzulässig ist.</w:t>
      </w:r>
    </w:p>
    <w:p>
      <w:r>
        <w:rPr>
          <w:b/>
        </w:rPr>
        <w:t>E. 4.4.1</w:t>
      </w:r>
    </w:p>
    <w:p>
      <w:r>
        <w:t>Erachtet das Sekretariat eine Wettbewerbsbeschränkung für unzulässig, kann es den Beteiligten eine EVR über die Art und Weise ihrer Beseitigung vorschlagen (Art. 29 Abs. 1 KG). Die EVR wird schriftlich abgefasst und bedarf der Genehmigung durch die WEKO (Art. 29 Abs. 2 KG), welche auf Antrag des Sekretariats mit Verfügung über die Genehmigung entscheidet (Art. 30 Abs. 1 KG). Die Verfahrensbeteiligten können schriftlich zum Antrag des Sekretariats Stellung nehmen (Art. 30 Abs. 2 KG). Wird eine Untersuchung durch den Erlass einer Genehmigungsverfügung abgeschlossen, ist die Gesamtkommission der Beklagten dafür zuständig (Art. 18 Abs. 3 KG). Schliesst - wie hier - nur ein Teil der Verfahrensparteien eine EVR mit dem Sekretariat ab und wird das Untersuchungsverfahren gegenüber diesen Parteien zuerst abgeschlossen und die Untersuchung für die anderen Parteien ordentlich weitergeführt und später durch eine Endverfügung der Gesamtkommission abgeschlossen, handelt es sich um ein sog. sequentiell-hybrides Verfahren. In diesem Fall schliesst die Kammer für Teilverfügungen der Beklagten auf Antrag des Sekretariats das Verfahren gegenüber den EVR-Parteien mittels Teilverfügung ab (Art. 19 Abs. 1 i.V.m. Abs. 2 Bst. b des Geschäftsreglements der WEKO vom 15. Juni 2015 [GR-WEKO, SR 251.1]).</w:t>
      </w:r>
    </w:p>
    <w:p>
      <w:r>
        <w:rPr>
          <w:b/>
        </w:rPr>
        <w:t>E. 4.4.2</w:t>
      </w:r>
    </w:p>
    <w:p>
      <w:r>
        <w:t>Das Gesetz weist somit die Kompetenz zum Erlass der Genehmigungsverfügung der Beklagten - bzw. bei sequentiell-hybriden Verfahren deren Kammer für Teilverfügungen - zu (Art. 30 Abs. 1 KG, Art. 18 Abs. 3 KG bzw. Art. 19 Abs. 1 i.V.m. Abs. 2 Bst. b GR-WEKO). Dazu gehört entgegen der Auffassung der Klägerin auch die Kompetenz, den Umfang bzw. Inhalt der Genehmigungsverfügung zu bestimmen. Die Beklagte bzw. deren Kammer für Teilverfügungen verfügt diesbezüglich über einen erheblichen Ermessensspielraum (Urteil des BVGer B-1324/2010 vom 2. Juli 2010 E. 5.1.6; Carla Beuret, Die einvernehmliche Regelung im schweizerischen Kartellrecht 2016, N 85, Zirlick/Tagmann, in: Basler Kommentar, Kartellgesetz, 2010, Art. 29 N 90, je m.w.H.). Vor Erlass der Verfügung nahm die Klägerin gemäss Art. 30 Abs. 2 KG mit Eingabe vom 11. April 2019 Stellung zum Antrag des Sekretariats vom 6. Februar 2019. Bereits damals bemängelte sie - wie auch im vorliegenden Klageverfahren - dass das Sekretariat sich nicht an Bst. b) der Vorbemerkungen der EVR halte, da der Antrag zu detailliert und umfangreich sei, und beantragte die Kürzung der Genehmigungsverfügung in Bezug auf den Sachverhalt und die rechtlichen Erwägungen im Vergleich zum Antrag des Sekretariats. Dass die Kammer für Teilverfügungen der Beklagten den Kürzungsanträgen der Klägerin anschliessend nicht stattgab und keine kürzere Verfügung erliess, bedeutet - entgegen der Auffassung der Klägerin - jedoch nicht, dass sie zum Entscheid darüber nicht zuständig wäre.</w:t>
      </w:r>
    </w:p>
    <w:p>
      <w:r>
        <w:rPr>
          <w:b/>
        </w:rPr>
        <w:t>E. 4.4.3</w:t>
      </w:r>
    </w:p>
    <w:p>
      <w:r>
        <w:t>Die Publikation einer (Genehmigungs- bzw. Sanktions-)Verfügung ist tatsächliches Verwaltungshandeln. Streitigkeiten über die Veröffentlichung müssen - sofern die Voraussetzungen zutreffen - verfügungsweise entschieden werden (Art. 25 und 25a VwVG, Art. 25 DSG). Anschliessend kann die Verfügung beim Bundesverwaltungsgericht und danach beim Bundesgericht angefochten werden (Urteile des BGer 2C_250/2019 vom 17. Juli 2020 E. 1.1, 2C_1065/2014 vom 26. Mai 2016 E. 1.1, "Nikon", nicht publiziert in BGE 142 II 268; Urteil des BVGer B-5607/2019 vom 27. Februar 2020 E. 1.1, je m.w.H.).</w:t>
      </w:r>
    </w:p>
    <w:p>
      <w:r>
        <w:rPr>
          <w:b/>
        </w:rPr>
        <w:t>E. 4.4.4</w:t>
      </w:r>
    </w:p>
    <w:p>
      <w:r>
        <w:t>So entscheidet die Beklagte praxisgemäss mittels sog. Publikationsverfügung über Differenzen bezüglich der Veröffentlichung ihrer Verfügungen (Art. 18 Abs. 3 KG). Auch im vorliegenden Fall teilte sie der Klägerin mit Schreiben vom 9. Juli 2019 ihre Absicht mit, die Genehmigungs- und Sanktionsverfügung zu publizieren und wies sie darauf hin, dass allfällige streitige Punkte im Rahmen einer Verfügung geklärt würden (vgl. Sachverhalt, Bst. A.f). Wie die Beklagte in ihrer Klageantwort vom 3. Februar 2020 vorbringt, hat sich die Klägerin bis anhin nicht mit einem entsprechenden Begehren bei der Beklagten gemeldet. Die Beklagte hatte dementsprechend noch keinen Anlass, mittels Publikationsverfügung über die Veröffentlichung der Genehmigungs- bzw. Sanktionsverfügung bzw. den Inhalt/Umfang der Veröffentlichung zu entscheiden. Dies ändert entgegen der Argumente der Klägerin aber ebenfalls nichts an ihrer diesbezüglichen Zuständigkeit.</w:t>
      </w:r>
    </w:p>
    <w:p>
      <w:r>
        <w:rPr>
          <w:b/>
        </w:rPr>
        <w:t>E. 4.4.5</w:t>
      </w:r>
    </w:p>
    <w:p>
      <w:r>
        <w:t>Aus dem Gesagten folgt, dass sowohl Streitigkeiten über den Inhalt und den Umfang der Genehmigungs- bzw. Sanktionsverfügung als auch solche betreffend deren Veröffentlichung verfügungsweise durch die Beklagte bzw. deren Kammer für Teilverfügungen entschieden werden. Entsprechend hat die Beklagte bereits mit dem Erlass der Genehmigungs- bzw. Sanktionsverfügung über deren Umfang und Detaillierungsgrad entschieden. Das Bundesverwaltungsgericht ist bereits aus diesem Grund nicht für die Beurteilung der vorliegenden Klage - bei der es sich um einen Rechtsbehelf der ursprünglichen Verwaltungsrechtspflege handelt (vgl. E. 4.1 hiervor) - zuständig (Art. 36 VGG).</w:t>
      </w:r>
    </w:p>
    <w:p>
      <w:r>
        <w:rPr>
          <w:b/>
        </w:rPr>
        <w:t>E. 5.1</w:t>
      </w:r>
    </w:p>
    <w:p>
      <w:r>
        <w:t>Die Beklagte bringt weiter vor, die EVR verliere im Zeitpunkt ihrer Genehmigung mittels Verfügung durch die Kammer für Teilverfügungen ihre selbständige Funktion und nach Erlass der Genehmigungsverfügung sei nur noch diese massgebend. Auch aus diesem Grund könne die EVR nicht mit Klage angefochten werden. Falls überhaupt ein Rechtsschutzinteresse an der Forderung der Klägerin bestehen sollte, wäre dieses mittels Beschwerde geltend zu machen, was die Klägerin auch getan habe.</w:t>
      </w:r>
    </w:p>
    <w:p>
      <w:r>
        <w:rPr>
          <w:b/>
        </w:rPr>
        <w:t>E. 5.2</w:t>
      </w:r>
    </w:p>
    <w:p>
      <w:r>
        <w:t>Die Klägerin ihrerseits bestreitet, dass die EVR nach Genehmigung durch die Beklagte bzw. die Kammer für Teilverfügungen keine selbständige Funktion mehr habe. Die Beklagte habe der vorliegenden EVR vorbehaltslos zugestimmt und sie wörtlich in ihre Verfügung integriert. Somit habe sie die in der EVR vereinbarten Rechte und Pflichten akzeptiert. Die Verpflichtung der Beklagten aus Bst. b) der Vorbemerkungen der EVR zur Kurzbegründung der Genehmigungsverfügung sei selbständig und ohne weiteres direkt um- und durchsetzbar.</w:t>
      </w:r>
    </w:p>
    <w:p>
      <w:r>
        <w:rPr>
          <w:b/>
        </w:rPr>
        <w:t>E. 5.3.1</w:t>
      </w:r>
    </w:p>
    <w:p>
      <w:r>
        <w:t>Juristisch lässt sich die EVR als verwaltungsrechtlicher Vertrag qualifizieren, welcher unter der Suspensivbedingung der Genehmigung durch die WEKO (bzw. deren Kammer für Teilverfügungen) steht (Urteil B-1324/2010 E. 5.1.2; Zirlick/Tagmann, a.a.O., Art. 29 N 88, je m.w.H.). Wie die Beklagte richtig vorbringt, kommt der EVR nach der herrschenden Lehre spätestens mit Erlass der Genehmigungsverfügung keine selbständige Funktion (mehr) zu. Mit der Verfügung werden die in der EVR vereinbarten Massnahmen hoheitlich angeordnet, weshalb nur noch die Verfügung massgebend ist (Beuret, a.a.O., N 186, Stefan Bilger, Das Verwaltungsverfahren zur Untersuchung von Wettbewerbsbeschränkungen 2002, S. 354 ff., Jürg Borer, Kommentar zum Schweizerischen Kartellgesetz, 3. A. 2011, Art. 29 KG N 7, Patrik Ducrey, in: von Büren/Marbach/Ducrey, Immaterialgüter- und Wettbewerbsrecht, 4. A. 2017, Rz. 1874). Auch die Klägerin anerkennt im Endeffekt, dass die EVR in der Genehmigungsverfügung aufgeht. So bringt sie in ihrer Eingabe vom 10. September 2019 vor, sie verlange im Hauptbegehren beschwerdeweise die Aufhebung der angefochtenen Verfügung, damit die EVR als Vertrag wiederauflebe und sie klageweise ihre Rechtsbegehren 1.2 und 1.3 durchsetzen könne.</w:t>
      </w:r>
    </w:p>
    <w:p>
      <w:r>
        <w:rPr>
          <w:b/>
        </w:rPr>
        <w:t>E. 5.3.2</w:t>
      </w:r>
    </w:p>
    <w:p>
      <w:r>
        <w:t>Mangels selbständiger Funktion kann deshalb weder die EVR selbst noch ihr Abschluss durch das Sekretariat mit einem ordentlichen Rechtsmittel angefochten werden. Lediglich die Verfügung über die Genehmigung oder Nichtgenehmigung einer EVR unterliegt - wie bereits vorne erwähnt - bei gegebenen Voraussetzungen der Beschwerde an das Bundesverwaltungsgericht (so bereits Urteil B-1324/2010 E. 5.1.2 m.w.H.; Zirlick/Tagmann, a.a.O., Art. 29 N 115 f.). Auch im vorliegenden Fall, in dem die Klägerin auf ordnungsgemässe Erfüllung der EVR klagt und damit die Aufhebung bzw. Kürzung der Genehmigungs- bzw. Sanktionsverfügung beantragt, tritt die Verfügung - welche die EVR wörtlich in der Begründung und die darin vereinbarten Massnahmen zusätzlich im Dispositiv wiedergibt - als hoheitlicher Akt an die Stelle der EVR (vgl. auch Urteil der BVGer A-6827/2008 vom 2. März 2009 E. 1.3.2). Die klageweise Durchsetzung des Kürzungsbegehrens ist folglich auch aus diesem Grund ausgeschlossen.</w:t>
      </w:r>
    </w:p>
    <w:p>
      <w:r>
        <w:rPr>
          <w:b/>
        </w:rPr>
        <w:t>E. 6</w:t>
      </w:r>
    </w:p>
    <w:p>
      <w:r>
        <w:t>Ob die Klägerin überhaupt über ein aktuelles schützenswertes Interesse an der richterlichen Klärung der Streitigkeit verfügt, da die Publikation der Genehmigungs- bzw. Sanktionsverfügung noch gar nicht in Streit liegt (vgl. E. 4.4.4 hiervor), kann offen bleiben.</w:t>
      </w:r>
    </w:p>
    <w:p>
      <w:r>
        <w:rPr>
          <w:b/>
        </w:rPr>
        <w:t>E. 7</w:t>
      </w:r>
    </w:p>
    <w:p>
      <w:r>
        <w:t>Zusammengefasst lässt sich festhalten, dass die vorliegende Streitigkeit über den Inhalt und den Umfang der Veröffentlichung der Genehmigungs- bzw. Sanktionsverfügung von Gesetzes wegen in die Verfügungskompetenz der Beklagten fällt (Art. 29 f. KG; Art. 25, 25a VwVG, Art. 25 DSG i.V.m. Art. 18 Abs. 3 KG), welche eine Behörde i.S.v. Art. 33 VGG darstellt. Dementsprechend entschied die Kammer für Teilverfügungen der Beklagten bereits mit Erlass der Genehmigungs- bzw. Sanktionsverfügung über deren Inhalt und Umfang und gab den Kürzungsbegehren der Klägerin nicht statt. Darüber hinaus hat die Klägerin grundsätzlich die Möglichkeit, allfällige Kürzungs-, Schwärzungs- oder Nichtveröffentlichungsanträge im Zusammenhang mit der durch die Beklagte noch zu erlassenden Publikationsverfügung vorzubringen. Die Zuständigkeit des Bundesverwaltungsgerichts nach Art. 35 Bst. a VGG ist aufgrund des Grundsatzes der Subsidiarität des Klageverfahrens (Art. 36 VGG; vgl. vorstehende E. 4.1) somit nicht gegeben. Zudem kann die Klägerin auch mangels selbständiger Funktion der EVR ihre Begehren nicht auf dem Weg einer Klage durchsetzen, sondern es ist - bei gegebenen Voraussetzungen - Beschwerde gegen die Genehmigungs- bzw. Sanktionsverfügung bzw. gegen eine allfällige nachgelagerte Publikationsverfügung der Beklagten zu führen. Die verwaltungsrechtliche Klage ist deshalb unzulässig, weshalb nicht darauf einzutreten ist.</w:t>
      </w:r>
    </w:p>
    <w:p>
      <w:r>
        <w:rPr>
          <w:b/>
        </w:rPr>
        <w:t>E. 8.1</w:t>
      </w:r>
    </w:p>
    <w:p>
      <w:r>
        <w:t>Die Gerichtsgebühr und die Parteientschädigung richten sich gemäss Art. 44 Abs. 3 VGG nach den Art. 63-65 VwVG, womit auch das Reglement vom 21. Februar 2008 über die Kosten und Entschädigungen vor dem Bundesverwaltungsgericht (VGKE, SR 173.320.2) (sinngemäss) zur Anwendung gelangt (vgl. Art. 44 Abs. 3 VGG i.V.m. Art. 63 Abs. 5 VwVG i.V.m. Art. 16 Abs. 1 Bst. a VGG; Urteil des BVGer B-8031/2015 vom 4. März 2019 E. 10 m.w.H.).</w:t>
      </w:r>
    </w:p>
    <w:p>
      <w:r>
        <w:rPr>
          <w:b/>
        </w:rPr>
        <w:t>E. 8.2</w:t>
      </w:r>
    </w:p>
    <w:p>
      <w:r>
        <w:t>Gemäss Art. 63 Abs. 1 VwVG hat in der Regel die unterliegende Partei die Verfahrenskosten zu tragen. Die Spruchgebühr richtet sich nach Umfang und Schwierigkeit der Sache, Art der Prozessführung und finanzieller Lage der Parteien. Sie beträgt in Streitigkeiten ohne Vermögensinteresse in der Regel zwischen Fr. 100.- und Fr. 5'000.- (Art. 63 Abs. 4bis Bst. a VwVG; Art. 2 Abs. 1, Art. 3 Bst. b VGKE). Im vorliegenden Klageverfahren wurden ein doppelter Schriftenwechsel sowie eine Hauptverhandlung durchgeführt, weshalb die Verfahrenskosten auf Fr. 4'000.- festzusetzen sind. Sie sind der Klägerin als unterliegende Partei aufzuerlegen und werden dem von ihr für das vorliegende Klageverfahren geleisteten Kostenvorschuss in der Höhe von Fr. 5'000.- entnommen. Der Differenzbetrag von Fr. 1'000.- wird der Klägerin nach Eintritt der Rechtskraft des vorliegenden Urteils zurückbezahlt.</w:t>
      </w:r>
    </w:p>
    <w:p>
      <w:r>
        <w:rPr>
          <w:b/>
        </w:rPr>
        <w:t>E. 8.3</w:t>
      </w:r>
    </w:p>
    <w:p>
      <w:r>
        <w:t>Der unterliegenden Klägerin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