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B-6714/2010 vom 13. März 2012</w:t>
      </w:r>
    </w:p>
    <w:p>
      <w:r>
        <w:t>Bundesverwaltungsgericht, 2012-03-13, DE</w:t>
      </w:r>
    </w:p>
    <w:p>
      <w:r>
        <w:rPr>
          <w:b/>
        </w:rPr>
        <w:t xml:space="preserve">Quelle: </w:t>
      </w:r>
      <w:r>
        <w:t>https://mcp.opencaselaw.ch/entscheid/bvger_B-6714_2010</w:t>
      </w:r>
    </w:p>
    <w:p>
      <w:r>
        <w:t>FR: TAF B-6714/2010 du 13 mars 2012</w:t>
      </w:r>
    </w:p>
    <w:p>
      <w:r>
        <w:t>IT: TAF B-6714/2010 del 13 marzo 2012</w:t>
      </w:r>
    </w:p>
    <w:p>
      <w:pPr>
        <w:pStyle w:val="Heading2"/>
      </w:pPr>
      <w:r>
        <w:t>Regeste</w:t>
      </w:r>
    </w:p>
    <w:p>
      <w:r>
        <w:t>Revisionsaufsicht</w:t>
      </w:r>
    </w:p>
    <w:p>
      <w:pPr>
        <w:pStyle w:val="Heading2"/>
      </w:pPr>
      <w:r>
        <w:t>Erwägungen</w:t>
      </w:r>
    </w:p>
    <w:p>
      <w:r>
        <w:rPr>
          <w:b/>
        </w:rPr>
        <w:t>E. 6</w:t>
      </w:r>
    </w:p>
    <w:p>
      <w:r>
        <w:t>Bei diesem Verfahrensausgang gilt die Beschwerdeführerin als überwiegend obsiegende Partei, weshalb ihr keine Kosten aufzuerlegen sind (Art. 63 Abs. 1 VwVG). Vorinstanzen oder unterliegende Bundesbehörden haben keine Verfahrenskosten zu tragen, auch wenn sie unterliegen (Art. 63 Abs. 2 VwVG). Als obsiegende Partei hat die Beschwerdeführerin Anspruch auf eine Parteientschädigung für die ihr erwachsenen notwendigen Kosten (Art. 7 Abs. 1 des Reglements vom 21. Februar 2008 über die Kosten und Entschädigungen vor dem Bundesverwaltungsgericht [VGKE, SR 173.320.2]). Das Anwaltshonorar ist nach dem notwendigen Zeitaufwand des Vertreters zu bemessen und beträgt ohne Mehrwertsteuer mindestens Fr. 200.-, höchstens jedoch Fr. 400.- pro Stunde (Art. 10 VGKE). Die Parteientschädigung ist aufgrund der eingereichten Kostennote festzusetzen. Mit Schreiben vom 24. September 2010 reichte der Rechtsvertreter der Beschwerdeführerin eine Kostennote für seinen Aufwand bis 16. September 2010 ein. Er macht darin einen Aufwand von insgesamt 6.75 Stunden, entsprechend einem Honorar von Fr. 1'687.-, sowie Auslagen von Fr. 50.65 und die auf diese Beträge entfallende Mehrwertsteuer von Fr. 132.10, total Fr. 1'870.25 (inkl. MwSt.), geltend. Diese Aufwandberechnung erscheint plausibel und wird den Umständen gerecht; der der Honorarnote zugrundegelegte Stundenansatz von Fr. 250.- ist ebenfalls angemessen. Hinzu kommen die (nicht bezifferten) Aufwendungen für die 4-seitige Replik vom 2. Dezember 2010, so dass sich eine Parteientschädigung von Fr. 2'000.- (inkl. MwSt.) ergibt. Die RAB ist als unterliegende Vorinstanz zu betrachten und hat die Parteikosten des Beschwerdeführerin zu tragen. Weil die Beschwerdeführerin im vorinstanzlichen Verfahren auch bei einer Gutheissung ihres Gesuchs kostenpflichtig geworden wäre, ist der angefochtene Entscheid im Kostenpunkt nicht aufzuheben, was von der Beschwerdeführerin auch nicht verlangt wird. 7.Im Bereich des Revisionsaufsichtsrechts handelt es sich nach der bundesgerichtlichen Rechtsprechung bei der Beurteilung der zu absolvierenden Fachpraxis um eine Frage, deren Überprüfung dem Bundesgericht entzogen ist (Art. 83 Bst. t des Bundesgerichtsgesetzes vom 17. Juni 2005 [BGG, SR 173.110]; vgl. Urteile des Bundesgerichts 2C_438/2008 vom 16. Oktober 2008 E. 2 und 2C_136/2009 vom 16. Juni 2009). Dieser Entscheid kann demnach nicht mit Beschwerde an das Bundesgericht weitergezogen werden.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