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B-6646/2014 vom 19. Dezember 2014</w:t>
      </w:r>
    </w:p>
    <w:p>
      <w:r>
        <w:t>Bundesverwaltungsgericht, 2014-12-19, DE</w:t>
      </w:r>
    </w:p>
    <w:p>
      <w:r>
        <w:rPr>
          <w:b/>
        </w:rPr>
        <w:t xml:space="preserve">Quelle: </w:t>
      </w:r>
      <w:r>
        <w:t>https://mcp.opencaselaw.ch/entscheid/bvger_B-6646_2014</w:t>
      </w:r>
    </w:p>
    <w:p>
      <w:r>
        <w:t>FR: TAF B-6646/2014 du 19 décembre 2014</w:t>
      </w:r>
    </w:p>
    <w:p>
      <w:r>
        <w:t>IT: TAF B-6646/2014 del 19 dicembre 2014</w:t>
      </w:r>
    </w:p>
    <w:p>
      <w:pPr>
        <w:pStyle w:val="Heading2"/>
      </w:pPr>
      <w:r>
        <w:t>Regeste</w:t>
      </w:r>
    </w:p>
    <w:p>
      <w:r>
        <w:t>Öffentliches Beschaffungswesen</w:t>
      </w:r>
    </w:p>
    <w:p>
      <w:pPr>
        <w:pStyle w:val="Heading2"/>
      </w:pPr>
      <w:r>
        <w:t>Erwägungen</w:t>
      </w:r>
    </w:p>
    <w:p>
      <w:r>
        <w:rPr>
          <w:b/>
        </w:rPr>
        <w:t>E. 1.1</w:t>
      </w:r>
    </w:p>
    <w:p>
      <w:r>
        <w:t>Der Vergabestelle wird gestattet, die Offerte der Beschwerdeführerin zu öffnen und formell zu prüfen.</w:t>
      </w:r>
    </w:p>
    <w:p>
      <w:r>
        <w:rPr>
          <w:b/>
        </w:rPr>
        <w:t>E. 1.2</w:t>
      </w:r>
    </w:p>
    <w:p>
      <w:r>
        <w:t>Soweit weitergehend wird der Antrag der Vergabestelle auf Anordnung vorsorglicher Massnahmen abgewiesen.</w:t>
      </w:r>
    </w:p>
    <w:p>
      <w:r>
        <w:rPr>
          <w:b/>
        </w:rPr>
        <w:t>E. 1.3</w:t>
      </w:r>
    </w:p>
    <w:p>
      <w:r>
        <w:t>Die Vergabestelle wird ersucht, den Abschluss des in Ziffer 1.1 hiervor erlaubten Prüfschritts dem Gericht anzuzeigen und Anträge zum weiteren Vorgehen zu stellen.</w:t>
      </w:r>
    </w:p>
    <w:p>
      <w:r>
        <w:rPr>
          <w:b/>
        </w:rPr>
        <w:t>E. 2</w:t>
      </w:r>
    </w:p>
    <w:p>
      <w:r>
        <w:t>Die Anträge der Beschwerdeführerin auf Erteilung der aufschiebenden Wirkung bzw. auf Anordnung vorsorglicher Massnahmen werden, soweit über die Ziffer 1.1 hiervor hinausgehend, abgewiesen.</w:t>
      </w:r>
    </w:p>
    <w:p>
      <w:r>
        <w:rPr>
          <w:b/>
        </w:rPr>
        <w:t>E. 3</w:t>
      </w:r>
    </w:p>
    <w:p>
      <w:r>
        <w:t>Anordnungen betreffend den Schriftenwechsel im Hauptverfahren und die Akteneinsicht erfolgen mit separater Verfügung.</w:t>
      </w:r>
    </w:p>
    <w:p>
      <w:r>
        <w:rPr>
          <w:b/>
        </w:rPr>
        <w:t>E. 4</w:t>
      </w:r>
    </w:p>
    <w:p>
      <w:r>
        <w:t>Über die Kostenfolgen der vorliegenden Zwischenverfügung wird mit dem Endentscheid befunden.</w:t>
      </w:r>
    </w:p>
    <w:p>
      <w:r>
        <w:rPr>
          <w:b/>
        </w:rPr>
        <w:t>E. 5</w:t>
      </w:r>
    </w:p>
    <w:p>
      <w:r>
        <w:t>Diese Zwischenverfügung geht an: - die Beschwerdeführerin (Rechtsvertreter; Gerichtsurkunde) - die Vergabestelle (Ref-Nr. SIMAP-Projekt-ID 118360; Rechtsvertreter; Gerichtsurkunde) Der Einzelrichter: Die Gerichtsschreiberin: Marc Steiner Beatrice Rohner Rechtsmittelbelehrung: Gegen diesen Zwischenentscheid kann innert 30 Tagen nach Eröffnung beim Bundesgericht, 1000 Lausanne 14, Beschwerde in öffentlich-rechtlichen Angelegenheiten geführt werden (Art. 82 ff., 90 ff. und 100 BGG), soweit davon auszugehen ist, dass er einen nicht wieder gutzumachenden Nachteil bewirken kann (Art. 93 Abs. 1 Bst. a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19. Dezember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