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B-6585/2010 vom 6. Mai 2011</w:t>
      </w:r>
    </w:p>
    <w:p>
      <w:r>
        <w:t>Bundesverwaltungsgericht, 2011-05-06, IT</w:t>
      </w:r>
    </w:p>
    <w:p>
      <w:r>
        <w:rPr>
          <w:b/>
        </w:rPr>
        <w:t xml:space="preserve">Quelle: </w:t>
      </w:r>
      <w:r>
        <w:t>https://mcp.opencaselaw.ch/entscheid/bvger_B-6585_2010</w:t>
      </w:r>
    </w:p>
    <w:p>
      <w:r>
        <w:t>FR: TAF B-6585/2010 du 6 mai 2011</w:t>
      </w:r>
    </w:p>
    <w:p>
      <w:r>
        <w:t>IT: TAF B-6585/2010 del 6 maggio 2011</w:t>
      </w:r>
    </w:p>
    <w:p>
      <w:pPr>
        <w:pStyle w:val="Heading2"/>
      </w:pPr>
      <w:r>
        <w:t>Regeste</w:t>
      </w:r>
    </w:p>
    <w:p>
      <w:r>
        <w:t>Opposizione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Le spese processuali di CHF 400.-- sono poste a carico dei ricorrenti. Esse sono computate con l'anticipo spese di CHF 2'000.-- versato il 24 settembre 2010 nella misura di CHF 1000.-- a testa. L'avanzo di CHF 1600.-- CHF (CHF 800.-- a testa) sarà rimborsato ai ricorrenti.</w:t>
      </w:r>
    </w:p>
    <w:p>
      <w:r>
        <w:rPr>
          <w:b/>
        </w:rPr>
        <w:t>E. 3</w:t>
      </w:r>
    </w:p>
    <w:p>
      <w:r>
        <w:t>Ai ricorrenti non viene assegnata alcuna indennità.</w:t>
      </w:r>
    </w:p>
    <w:p>
      <w:r>
        <w:rPr>
          <w:b/>
        </w:rPr>
        <w:t>E. 4</w:t>
      </w:r>
    </w:p>
    <w:p>
      <w:r>
        <w:t>Comunicazione a: - ricorrenti (raccomandata; allegati: atti di ritorno; formulario per il rimborso) - controparte (raccomandata) - autorità inferiore (n. di rif. PO 11167; raccomandata; allegati: atti di ritorno) Il presidente del collegio: Il cancelliere: Francesco Brentani Ciro Papini Data di spedizione: 6 maggio 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