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B-6533/2011 vom 15. August 2012</w:t>
      </w:r>
    </w:p>
    <w:p>
      <w:r>
        <w:t>Bundesverwaltungsgericht, 2012-08-15, DE</w:t>
      </w:r>
    </w:p>
    <w:p>
      <w:r>
        <w:rPr>
          <w:b/>
        </w:rPr>
        <w:t xml:space="preserve">Quelle: </w:t>
      </w:r>
      <w:r>
        <w:t>https://mcp.opencaselaw.ch/entscheid/bvger_B-6533_2011</w:t>
      </w:r>
    </w:p>
    <w:p>
      <w:r>
        <w:t>FR: TAF B-6533/2011 du 15 août 2012</w:t>
      </w:r>
    </w:p>
    <w:p>
      <w:r>
        <w:t>IT: TAF B-6533/2011 del 15 agosto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angefochtenen Verfügungen be­rührt und hat ein schutzwürdiges Interesse an deren Aufhebung oder Änderung, sodass er im Sinne von Art. 59 ATSG beschwerdelegitimiert ist.</w:t>
      </w:r>
    </w:p>
    <w:p>
      <w:r>
        <w:rPr>
          <w:b/>
        </w:rPr>
        <w:t>E. 1.4</w:t>
      </w:r>
    </w:p>
    <w:p>
      <w:r>
        <w:t>Da die Beschwerde im Übrigen frist- und formgerecht (Art. 60 ATSG und Art. 52 VwVG) eingereicht wurde, ist grundsätzlich darauf einzutreten (vgl. aber E. 3 hiernach).</w:t>
      </w:r>
    </w:p>
    <w:p>
      <w:r>
        <w:rPr>
          <w:b/>
        </w:rPr>
        <w:t>E. 2</w:t>
      </w:r>
    </w:p>
    <w:p>
      <w:r>
        <w:t>Vorab ist zu prüfen, welche Rechtsnormen im vorliegenden Verfahren zur Anwendung gelangen.</w:t>
      </w:r>
    </w:p>
    <w:p>
      <w:r>
        <w:rPr>
          <w:b/>
        </w:rPr>
        <w:t>E. 2.1</w:t>
      </w:r>
    </w:p>
    <w:p>
      <w:r>
        <w:t>Der Beschwerdeführer ist kroatischer Staatsangehöriger. Nach Art. 4 des Abkommens vom 9. April 1996 zwischen der Schweizerischen Eidgenossenschaft und der Republik Kroatien über Soziale Sicherheit (SR 0.831.109.291.1) stehen die Staatsangehörigen der Vertragsstaaten in ihren Rechten und Pflichten aus den in Art. 2 genannten Rechtsvorschriften, zu welchen die schweizerische Bundesgesetzgebung über die Invalidenversicherung gehört, einander gleich, soweit nichts anderes bestimmt ist.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24. Oktober 2011)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IVV ist auf die Fassung gemäss den am 1. Januar 2008 in Kraft getretenen Änderungen (5. IV-Revision; AS 2007 5129 und AS 2007 5155) abzustellen. Noch keine Anwendung findet vorliegend das am 1. Januar 2012 in Kraft getretene erste Massnahmepaket der 6. IV-Revision (für das IVG: Fassung vom 18. März 2011 [AS 2011 5659]).</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Die einschlägige Bestimmung der seit 1. Januar 2008 gültigen Fassung (Art. 29 Abs. 4 IVG [5. IV-Revision]) wurde zwar neu formuliert, hat aber inhaltlich keine Änderung erfahren, weshalb die hierzu entwickelte Rechtsprechung übernommen und weitergeführt werden kann.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w:t>
      </w:r>
    </w:p>
    <w:p>
      <w:r>
        <w:rPr>
          <w:b/>
        </w:rPr>
        <w:t>E. 3.4</w:t>
      </w:r>
    </w:p>
    <w:p>
      <w:r>
        <w:t>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und Arbeitnehmerinnen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In BGE 126 V 75 ff. hat das Eidgenössische Versicherungsgericht die bisherige Praxis dahin gehend präzisiert,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wobei der Abzug auf höchstens 25% zu begrenzen ist (BGE 129 V 481 Erw. 4.2.3 mit Hinweisen).</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4.1</w:t>
      </w:r>
    </w:p>
    <w:p>
      <w:r>
        <w:t>Die Vorinstanz stützte sich bei ihrer Beurteilung auf folgende Gutachten ab:</w:t>
      </w:r>
    </w:p>
    <w:p>
      <w:r>
        <w:rPr>
          <w:b/>
        </w:rPr>
        <w:t>E. 4.1.1</w:t>
      </w:r>
    </w:p>
    <w:p>
      <w:r>
        <w:t>Dr. med. und Dr. sc. nat. ETH B._______ erhob in ihrem Gutachten vom 16. Juli 2011 folgende rheumatologische Diagnosen mit Auswirkung auf die Arbeitsfähigkeit: Lumbospondylogene Schmerzen links bei · Status nach lumbalen Wurzelkompressionssyndrom L5 links mit o operativer Behandlung am 26.03.2007 * Facettengelenksdenervierung, Foraminotomie L5 links und Wurzeldekompression mit * Narbengewebe um die Nervenwurzeln L5 links und S1 links * geringen degenerativen Veränderungen sowie geringe Chondrose und Bandscheibenprotrusion L4/L5 ohne Rezidivhernie und ohne Foraminalstenose (MRI 06/2010) · mit Ventroglissement von L5 gegenüber S1 um etwa 4mm Grad I nach Meyerding und geringes Retroglissement von L4 gegenüber L5 o seit Jahren im wesentlichen unverändert * Röntgen 08/2007 gegenüber Röntgen 06/2011 o Ohne Segmentinstabilität (funktionelles Röntgen 06/2011) · Klinisch ohne radikuläre Zeichen Ohne Auswirkung auf die Arbeitsfähigkeit seien der Nikotinabusus, ferner die arterielle Hypertonie (mit adäquater medikamentöser Therapie und geringer Koronarsklerose ohne bedeutsame Einengungen und normaler systolischer linksventrikulärer Funktion; ED/12/2010), die Adipositas Grad II (BMI 36.6 kg/m2), die Hypothyreose (Status nach Radiojod-Therapie am 19.07.2006 wegen eines dekompensierten autonomen Adenom des linken Schilddrüsenlappens mit adäquater medikamentöser Substitution; TSH normal), der Status nach Urothel-Karzinom der Harnblase (pTO, G1) mit transurethraler Resektion am 25. Januar 2011. Zur Begründung ihres Befunds führte sie aus, der Beschwerdeführer klage über starke lumbale Schmerzen mit Ausstrahlung in das linke Bein bis zum Fuss, er könne deshalb nicht lange sitzen und nicht lange stehen. In der klinischen Untersuchung sei die Adipositas Grad II der wesentlichste Befund. Die Beweglichkeit der LWS sei in allen Richtungen leicht eingeschränkt. Der sitzend durchgeführte SLUMP-Test sei beidseits normal. Diskrepant dazu sei ein angeblich pathologischer Lasègue links bei 40° mit weichem Anschlag. Dies weise auf ein Artefakt bei dem Lasègue-Manöver hin. Andere radikuläre Zeichen seien nicht vorhanden. In den bildgebenden Untersuchungen der LWS fänden sich Narbengewebe um die Nervenwurzeln L5 links und S1 links sowie geringe degenerative Veränderungen mit Chondrose und Bandscheibenprotrusion L4/L5. Eine Rezidivhernie sowie Foraminal- oder Spinalkanalstenosen seien nicht vorhanden. Ausserdem bestünden seit Jahren im wesentlichen unverändert ein Ventroglissement von L5 gegenüber S1 um vier Millimeter (Grad I nach Meyerding) und ein geringes Retroglissement von L4 gegenüber L5. Die funktionelle Röntgenuntersuchung der LWS am 6. Juni 2011 habe nirgends eine segmentale Instabilität gezeigt. Die ausgedehnte kardiologische Kontrolle 12/2010 habe eine geringe Koronarsklerose ohne bedeutsame Einengungen und eine normale linksventrikuläre Funktion ergeben. Im Januar 2011 sei ein kleines Harnblasen-Karzinom (pTO, G1) transurethral in toto abgetragen worden. Die Kontrolle im Mai 2011 habe kein Rezidiv gezeigt. Die ausgedehnte Blutuntersuchung habe keinen wesentlichen pathologischen Befund ergeben. Ein Diabetes mellitus sei nicht nachweisbar. Die Schilddrüse sei adäquat substituiert. Die vorhandenen Befunde erklärten das Ausmass der Beschwerden nicht. Der Beschwerdeführer könne eine adaptierte Tätigkeit zu 100% ausüben. Die Gebrauchsspuren an den Fingerkuppen des Daumens und Zeigefingers beidseits erkläre der Beschwerdeführer mit dem regelmässigen Velofahren, was eine plausible Erklärung sei. Er sei nun in der Lage, lang andauernd Velo zu fahren. Von den vier in seinem Blut/Urin geprüften Medikamenten seien beide Herzmittel im therapeutischen Bereich vorhanden. Dagegen fehle vom Schmerzmittel Ibuflam und vom Antidepressivum Amitriptylin jede Spur. Bei der langen Eliminationshalbwertszeit des Stoffwechselprodukts Nortriptylin vom Amitriptylin von 30 Stunden habe er dieses Medikament schon mindestens mehrere Tage lang nicht mehr eingenommen. Es scheine, dass der Beschwerdeführer seine Herzkrankheit wie verordnet behandle. Seine übrigen Beschwerden schätze er dagegen nicht als derart gravierend ein, dass er die medizinischen Massnahmen korrekt durchführen würde. Da er zu seinem Medikamentengebrauch falsche Angaben mache, vermindere dies seine Glaubwürdigkeit. Der Beschwerdeführer sei durch die eingeschränkte Funktion der LWS limitiert. Das längere Verharren in vornüber geneigter Haltung - ob stehend oder sitzend - sei zu vermeiden, ebenso unerwartete, asymmetrische Lasteinwirkungen. Eher günstig seien wechselbelastende Tätigkeiten. Der Beschwerdeführer könne Lasten bis zehn Kilogramm heben oder tragen (leichtes Belastungsniveau). Tätigkeiten, die dem oben angegebenen Profil entsprächen, könne er ohne Einschränkungen ganztags zu 100% ausüben. Die angestammte Tätigkeit könne er nicht mehr ausüben, denn er müsse dabei zu schwere Lasten tragen. Für eine adaptierte Tätigkeit sei der Beschwerdeführer nie langfristig arbeitsunfähig gewesen. Der Beschwerdeführer habe bei der Untersuchung weder ein Schmerzmittel noch ein Antidepressivum verwendet. Seine medikamentöse Therapie habe daher ein grosses Optimierungspotential. Das Übergewicht erhöhe die Belastungen auf die Gelenke und löse dadurch vermehrte Schmerzen aus. Eine Normalisierung des Gewichts sei wünschbar. Das maximale Normalgewicht des Beschwerdeführers sei 77.2 kg (BMI 24.9 kg/m2). Auch das Rauchen schade seiner Gesundheit, weshalb dem Beschwerdeführer geraten worden sei, damit aufzuhören. Die berufliche Eingliederung könne ab sofort auf die übliche Art erfolgen. Die Prognose sei gut. Es sei wahrscheinlich, dass er eine adaptierte Tätigkeit langfristig ausüben könne. Die Herzbefunde seien trotz erheblicher Risikofaktoren überraschend gering, wie die ausführliche kardiologische Untersuchung vom 23. Dezember 2010 und dem folgenden Tag mit Echokardiographie und Koronarangiographie ergeben habe. Ein frischer oder durchgemachter Herzinfarkt sei nicht vorhanden gewesen. Das kleine Blasen-Karzinom habe am 25. Januar 2011 mit einer transurethralen Resektion vollständig entfernt werden können. Weder der Herzbefund noch das Blasenkarzinom bewirkten eine lang andauernde Verschlechterung seiner Arbeitsfähigkeit.</w:t>
      </w:r>
    </w:p>
    <w:p>
      <w:r>
        <w:rPr>
          <w:b/>
        </w:rPr>
        <w:t>E. 4.1.2</w:t>
      </w:r>
    </w:p>
    <w:p>
      <w:r>
        <w:t>Dr. med. D._______, Facharzt für Psychiatrie und Psychotherapie FMH, stellte in seinem Gutachten vom 20. Juli 2011 folgende Diagnose mit Auswirkung auf die Arbeitsfähigkeit: Rezidivierende depressive Störung, gegenwärtig leichte Episode mit somatischen Symptomen (ICD-10: F33.81). Ohne Auswirkungen auf die Arbeitsfähigkeit sei die anhaltende somatoforme Schmerzstörung (ICD-10: F45.4). Zur Begründung führte Dr. med. D._______ aus, beim Exploranden seien aufgrund der anamnestischen Angaben weder eine genetische Vulnerabilität noch Persönlichkeitsfaktoren für die Entwicklung der psychiatrischen Erkrankungen festzustellen. Die Kindheit bzw. Persönlichkeitsentwicklung des Beschwerdeführers sei ohne gravierende traumatische Ereignisse erfolgt. Er sei regelrecht eingeschult worden, habe acht Jahre die Primarschule absolviert und eine dreijährige Automechanikerlehre abgeschlossen. Damit könnten sowohl Intelligenzminderung als auch Verhaltensstörungen oder sonstige psychische Probleme mit Krankheitswert in der Kindheit und im Pubertätsalter ausgeschlossen werden. Der Explorand sei militärtauglich gewesen und habe im Heimatland einen 15-monatigen Militärdienst absolviert, was auch gegen psychische Probleme mit Krankheitswert im Früherwachsenenalter spreche. Der Beschwerdeführer sei im Erwachsenenalter über Jahre den sozialen Anforderungen ohne Probleme gewachsen gewesen, er habe jahrelang eine konstante Arbeitsleistung erbracht, habe konstante zwischenmenschliche Beziehungen gepflegt, die anhaltenden Störungen der Impuls- oder Affektkontrolle seien weder anamnestisch erhoben noch aktenmässig dokumentiert, womit sich auch keine Hinweise auf prämorbid vorbestehende psychische Probleme mit Krankheitswert im Erwachsenenalter ergäben. Der Explorand sei seit den Kriegswirren im Heimatland 1991 mehreren psychischen Belastungen ausgesetzt gewesen. Insbesondere die zerrüttete Ehe und massive Existenzängste bei schweren Einsamkeitsgefühlen sprächen für die somatoforme Schmerzkomponente bzw. Entwicklung einer anhaltenden somatoformen Schmerzstörung. Ausserdem sei es beim Exploranden seit 2006 im Rahmen der Anpassungsproblematik zur Entwicklung der rezidivierenden depressiven Störungen (vor allem somatischer Art) mit typischen Symptomen von Spannungen, Sorgen, Verzweiflung und anhaltenden Schmerzen gekommen. Anlässlich der psychiatrischen Untersuchung bei der Begutachtungsstelle ABI Basel vom 15. Januar 2008 sei eine leichte depressive Episode diagnostiziert worden, die er anlässlich seiner Untersuchung vom 20. Juni 2011 bestätigen könne. Im Bericht vom behandelnden Psychiater Dr. med. Ringel vom 25. Januar 2011 sei eine Dysthymia dokumentiert, wobei der Explorand aufgrund der anamnestischen Angaben in den letzten Jahren kaum symptomfreie Phasen gehabt habe, weshalb er diese Diagnose nicht bestätigen könne. Der Beschwerdeführer sei aber trotz depressiver Symptomatik in den letzten Jahren stets fähig gewesen, mit den wesentlichen Anforderungen des täglichen Lebens fertig zu werden, was einerseits das Kriterium einer Dysthymia erfüllen würde, aber doch eher eine anhaltende leichte depressive Symptomatik ohne Einschränkung der psychokognitiven Funktionen bestätige. Anlässlich der Exploration vom 20. Juni 2011 habe der Explorand leichte, formale Denkstörungen, Gedankeneinengung auf seine Existenzsorgen und eine leicht reduzierte affektive Schwingungsfähigkeit aufgewiesen, weshalb ihm eine ca. 20%ige Arbeitsunfähigkeit attestiert werden könne. Für die 80%ige Arbeitsfähigkeit aus psychiatrischer Sicht sprächen vollständig erhaltene Konzentratinsfähigkeit, Merkfähigkeit, Auffassungsvermögen, Gedächtnisfunktionen, Gedankenfluss, Antrieb und Psychomotorik. Der Explorand stehe seit 2006 in regelmässiger psychiatrischer Behandlung, die zwar bei belastender psychosozialer Situation keine vollständige Rückbildung der depressiven Symptome bewirkt habe, jedoch eine Verschlechterung und Chronifizierung der psychischen Probleme ganz klar habe verhindern können. Deswegen sollten zur Erhaltung der 80%igen Arbeitsfähigkeit die etablierten therapeutischen Massnahmen, allerdings mit Ausbau der antidepressiven Medikation konsequent fortgesetzt werden. Der Beschwerdeführer sei sowohl in der bisherigen als auch in einer adaptierten Tätigkeit zu 80% arbeitsfähig.</w:t>
      </w:r>
    </w:p>
    <w:p>
      <w:r>
        <w:rPr>
          <w:b/>
        </w:rPr>
        <w:t>E. 4.2</w:t>
      </w:r>
    </w:p>
    <w:p>
      <w:r>
        <w:t>Am 14. Mai 2009 erging ein orthopädisches Gutachten von Dr. med. E._______, Orthopädische Chirurgie FMH/FMCH, welches zum positiven Vorbescheid mit in-Aussicht-Stellung einer halben Rente führte. Dr. med. E._______ diagnostizierte ein chronifiziertes sensorisches Schmerzsyndrom L4-L5 links (seit 2007), einen Status nach Facettengelenksdenervierung, Foraminotomie und Wurzeldekompression L5-S1 links (März 2007), degenerative Veränderungen der unteren LWS mit Verdacht auf leichte Instabilität und eine somatoforme Schmerzstörung und Depression. Zur Begründung führte er aus, im Vergleich zur Begutachtung vom 21. Februar 2008 (ABI) habe sich die Situation in den Sommermonaten 2008 leicht verschlechtert mit etwas Schmerzzunahme und relativ konstanter sensibler Symptomatik L4-L5 links. Der Medikamentenkonsum habe sich etwas erhöht, ebenfalls die Einnahme von Antidepressiva. Bei der Befragung seien relativ konstante ausstrahlende Kreuzschmerzen geschildert worden mit deutlich verkürzter Steh-, Geh- und Sitzleistung. Die klinische Untersuchung ergebe ein relativ hartnäckiges sensorisches Syndrom L4-L5 links mit positivem Lasègue-Zeichen und eingeschränkter LWS-Beweglichkeit. Deswegen reduziere er die Einschätzung der Arbeitsfähigkeit in angepasster Tätigkeit von 80% auf 60% bis 70%. In der bisherigen Tätigkeit bestehe in Übereinstimmung mit allen behandelnden und begutachtenden Ärzten keine verwertbare Arbeitsfähigkeit mehr. In angepasster Tätigkeit attestiere er aktuell eine 60%ige bis 70%ige Arbeitsfähigkeit mit folgendem Belastungs- und Ressourcenprofil: Leichte bis mittelschwere Tätigkeit, vornehmlich ausgeübt in Wechselbelastung mit relativ raschem Wechselrhythmus, mit Tragen und Heben von Gegenständen bis maximal 8kg pro Seite, ohne länger dauernde vorübergeneigte Haltung und ohne asymmetrische Lasteinwirkungen. In Übereinstimmung mit dem behandelnden Orthopäden bestehe jetzt die Indikation einer Spondylodese L4 bis S1. Nach der üblichen Rehabilitationszeit, d.h. vier bis fünf Monate nach der Operation bestehe in angepasster Tätigkeit mit überwiegender Wahrscheinlichkeit wieder volle Arbeitsfähigkeit. Aktuell sei die Fortsetzung der Einnahme von Analgetika und Antiphlogistika mit Physiotherapie angezeigt. Die Beurteilung im Gutachten des ABI vom Februar 2008 sei im Wesentlichen nachvollziehbar. Seit Juli 2008 sei es tatsächlich zu einer gewissen Verschlechterung gekommen, welche in den Befunden festgehalten und mit früher verglichen werde. Allerdings reduziere sich dadurch die Einschätzung der Arbeitsfähigkeit in angepasster Tätigkeit um 10% bis 20%.</w:t>
      </w:r>
    </w:p>
    <w:p>
      <w:r>
        <w:rPr>
          <w:b/>
        </w:rPr>
        <w:t>E. 4.3</w:t>
      </w:r>
    </w:p>
    <w:p>
      <w:r>
        <w:t>Der Beschwerdeführer erhebt Einwände gegen die begutachtenden Ärzte Dres. med. D._______ und B._______.</w:t>
      </w:r>
    </w:p>
    <w:p>
      <w:r>
        <w:rPr>
          <w:b/>
        </w:rPr>
        <w:t>E. 4.3.1</w:t>
      </w:r>
    </w:p>
    <w:p>
      <w:r>
        <w:t>Der Beschwerdeführer macht einerseits geltend, er sei Kroate und Dr. med. D._______ sei Serbe, so dass nicht von einer objektiven und unvoreingenommenen Begutachtung seiner psychischen Beschwerden durch diesen Arzt ausgegangen werden könne; die Animositäten zwischen den Ethnien bestünden weiterhin. Das Eidgenössische Versicherungsgericht (heute Bundesgericht) hat bereits wiederholt festgehalten, die Tatsache allein, dass ein Gutachter aus Serbien stamme, reiche nicht für eine Befangenheit bei der Beurteilung von Versicherten anderer Ethnien aus dem früheren Jugoslawien aus (Urteil des Eidgenössischen Versicherungsgerichts I 712/00 vom 14. Februar 2002). Das Gutachten von Dr. med. D._______ ist umfassend, berücksichtigt die geklagten Beschwerden, erging in Kenntnis der Anamnese und legt nachvollziehbar dar, warum der Beschwerdeführer aus psychiatrischer Sicht in einer adaptierten Tätigkeit um 20% eingeschränkt ist, so dass grundsätzlich darauf abgestellt werden kann.</w:t>
      </w:r>
    </w:p>
    <w:p>
      <w:r>
        <w:rPr>
          <w:b/>
        </w:rPr>
        <w:t>E. 4.3.2</w:t>
      </w:r>
    </w:p>
    <w:p>
      <w:r>
        <w:t>Der Beschwerdeführer macht ferner geltend, Dr. med. B._______ sei als Internistin und Rheumatologin nicht in der Lage, seine orthopädischen Leiden zu beurteilen. Es ist in der Tat nicht nachvollziehbar, weshalb der Beschwerdeführer nicht durch einen Orthopäden begutachtet wurde, da ein orthopädisches Leiden vorliegt. Als Internistin war Dr. med. B._______ immerhin in der Lage, zu beurteilen, dass die Befunde des Herzens und auch das Blasenkarzinom keine Auswirkungen auf die Arbeitsfähigkeit hätten. Zwar setzte sich Dr. med. B._______ kurz mit dem Gutachten von Dr. med. E._______ vom 14. Mai 2009 (E. 4.2 hiervor) auseinander. Dabei hielt sie u.a. fest, Dr. med. E._______ stütze sich in seinem Gutachten wesentlich auf die Angaben Exploranden ab, die er unfiltriert übernehme. Dieser Auffassung kann nicht gefolgt werden, da Dr. med. E._______ ausführt, es sei gestützt auf seine Befunderhebung zu einer gewissen Verschlechterung im Sommer 2008 gekommen. Die beiden Gutachten (von Dr. med. B._______ und Dr. med. E._______) kommen nicht zum gleichen Schluss. Es ist dem Bundesverwaltungsgericht nicht möglich, zu beurteilen, auf welches Gutachten eher abzustellen ist. Die Vorinstanz hat daher eine erneute Begutachtung durch einen Orthopäden zu veranlassen.</w:t>
      </w:r>
    </w:p>
    <w:p>
      <w:r>
        <w:rPr>
          <w:b/>
        </w:rPr>
        <w:t>E. 4.4</w:t>
      </w:r>
    </w:p>
    <w:p>
      <w:r>
        <w:t>Soweit der Beschwerdeführer geltend macht, es sei ein leidensbedingter Abzug von mindestens 20% zu berücksichtigen anstelle des Abzugs von 15%, so ist ihm entgegen zu halten, dass diese Frage beim vorliegenden Verfahrensausgang offengelassen werden kann. Es ist jedoch auf das Urteil des Bundesverwaltungsgerichts vom 25. Oktober 2010 hinzuweisen, in welchem ein leidensbedingter Abzug von 15% als genügend hoch erachtet wurde (C-4530/2008 E. 7.2). 5.Aufgrund der dem Gericht vorliegenden medizinischen Unterlagen lässt sich somit nicht beurteilen, ob, seit wann und in welchem Umfang Anspruch auf eine Invalidenrente besteht. 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 6.Zu befinden bleibt noch über die Verfahrenskosten und eine allfällige Parteientschädigung. Dabei ist zu berücksichtigen, dass die Rückweisung der Sache an die Vorinstanz zu erneuter Abklärung (mit noch offenem Ausgang) praxisgemäss (BGE 132 V 215 E. 6.1) für die Frage der Auferlegung der Gerichtskosten wie auch der Parteientschädigung als volles Obsiegen gilt, unabhängig davon, ob sie überhaupt beantragt, oder ob das entsprechende Begehren im Haupt- oder Eventualantrag gestellt wird (Urteil Bger 1C_397/2009 vom 26. April 2010 E. 6, Urteil BGer 1C_78/2009 vom 31. August 2010 E. 12.1). 6.1 Die Verfahrenskosten hat in der Regel die unterliegende Partei zu tragen (Art. 63 Abs. 1 VwVG). Der unterliegenden Vorinstanz sind allerdings keine Verfahrenskosten aufzuerlegen (Art. 63 Abs. 2 VwVG). 6.2 Der Beschwerdeführer hat gemäss Art. 64 Abs. 1 VwVG i.V.m. Art. 7 ff. des Reglements vom 21. Februar 2008 über die Kosten und Entschädigungen vor dem Bundesverwaltungsgericht (VGKE, SR 173.320.2) Anspruch auf eine Parteientschädigung zu Lasten der Vorinstanz. Unter Berücksichtigung des gebotenen Aufwandes erscheint eine Entschädigung von Fr. 2'000.- (inkl. Auslagen, ohne Mehrwertsteuer, vgl. Art. 1 Abs. 2 i.V.m. Art. 8 Abs. 1 und Art. 18 Abs. 1 des Mehrwertsteuergesetzes vom 12. Juni 2009 [MWSTG, SR 641.20])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