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B-6431/2015 vom 8. Dezember 2016</w:t>
      </w:r>
    </w:p>
    <w:p>
      <w:r>
        <w:t>Bundesverwaltungsgericht, 2016-12-08, DE</w:t>
      </w:r>
    </w:p>
    <w:p>
      <w:r>
        <w:rPr>
          <w:b/>
        </w:rPr>
        <w:t xml:space="preserve">Quelle: </w:t>
      </w:r>
      <w:r>
        <w:t>https://mcp.opencaselaw.ch/entscheid/bvger_B-6431_2015</w:t>
      </w:r>
    </w:p>
    <w:p>
      <w:r>
        <w:t>FR: TAF B-6431/2015 du 8 décembre 2016</w:t>
      </w:r>
    </w:p>
    <w:p>
      <w:r>
        <w:t>IT: TAF B-6431/2015 del 8 dicembre 2016</w:t>
      </w:r>
    </w:p>
    <w:p>
      <w:pPr>
        <w:pStyle w:val="Heading2"/>
      </w:pPr>
      <w:r>
        <w:t>Regeste</w:t>
      </w:r>
    </w:p>
    <w:p>
      <w:r>
        <w:t>Forschungsförderung allgemein</w:t>
      </w:r>
    </w:p>
    <w:p>
      <w:pPr>
        <w:pStyle w:val="Heading2"/>
      </w:pPr>
      <w:r>
        <w:t>Erwägungen</w:t>
      </w:r>
    </w:p>
    <w:p>
      <w:r>
        <w:rPr>
          <w:b/>
        </w:rPr>
        <w:t>E. 1.1</w:t>
      </w:r>
    </w:p>
    <w:p>
      <w:r>
        <w:t>Das Bundesverwaltungsgericht ist für die Beurteilung der vorliegenden Beschwerde zuständig (Art. 13 Abs. 5 des Bundesgesetzes über die Förderung der Forschung und der Innovation vom 14. Dezember 2012 [FIFG, SR 420.1] und Art. 31 des Reglements des Schweizerischen Nationalfonds über die Gewährung von Beiträgen und Art. 31 des Reglements des Schweizerischen Nationalfonds über die Gewährung von Beiträgen vom 27. Februar 2015 [Beitragsreglement] i.V.m. Art. 31 f. sowie Art. 33 Bst. h des Verwaltungsgerichtsgesetzes vom 17. Juni 2005 [VGG, SR 173.32]).</w:t>
      </w:r>
    </w:p>
    <w:p>
      <w:r>
        <w:rPr>
          <w:b/>
        </w:rPr>
        <w:t>E. 1.2</w:t>
      </w:r>
    </w:p>
    <w:p>
      <w:r>
        <w:t>Als Adressat der angefochtenen Verfügung ist der Beschwerdeführer zur Beschwerde legitimiert (Art. 48 Abs. 1 des Verwaltungsverfahrensgesetzes vom 20. Dezember [VwVG, SR 172.021]). Diese ist frist- und formgerecht eingereicht worden und die übrigen Sachurteilsvoraussetzungen liegen vor (Art. 50 Abs. 1, Art. 52 Abs. 1 und Art. 44 ff. VwVG). Auf die Beschwerde ist daher einzutreten.</w:t>
      </w:r>
    </w:p>
    <w:p>
      <w:r>
        <w:rPr>
          <w:b/>
        </w:rPr>
        <w:t>E. 2.1</w:t>
      </w:r>
    </w:p>
    <w:p>
      <w:r>
        <w:t>Das Bundesverwaltungsgericht überprüft angefochtene Forschungsförderungsentscheide umfassend, soweit sich die Rügen auf Verfahrensmängel sowie die Auslegung und Anwendung von Rechtsnormen beziehen, jedoch gestützt auf Art. 13 Abs. 3 FIFG mit einer gewissen Zurückhaltung, soweit diese sich auf die Gesuchsbeurteilung durch die Vorinstanz bzw. deren durch das FIFG eingeräumtes freies Ermessen beziehen. Diese Zurückhaltung rechtfertigt sich indessen nur bezüglich der fachlichen Einschätzung der Förderungswürdigkeit eines bestimmten Gesuchs, namentlich bei der Beurteilung der wissenschaftlichen Qualität eines Projekts oder der Qualifikation des Gesuchstellenden (vgl. Urteile des Bundesverwaltungsgerichts B-3728/2013 vom 27. August 2014 E. 2 und B-253/2013 vom 26. Februar 2014 E. 3 [nicht publ. in BVGE 2014/2]).</w:t>
      </w:r>
    </w:p>
    <w:p>
      <w:r>
        <w:rPr>
          <w:b/>
        </w:rPr>
        <w:t>E. 2.2</w:t>
      </w:r>
    </w:p>
    <w:p>
      <w:r>
        <w:t>Im vorliegenden Fall sind folgende Reglementsbestimmungen massgeblich: Die Vorinstanz gewährt Forscherinnen und Forschern, die eine akademische Laufbahn anstreben, an schweizerischen Hochschulen SNF-Förderungsprofessuren (Art. 1 Abs. 1 des Reglements über die Gewährung von SNF-Förderungsprofessuren vom 16. Januar 2008 [Reglement]). Für die wissenschaftliche Evaluation und für die Entscheidung der Gesuche zur Ausrichtung von SNF-Förderungsprofessuren nach diesem Reglement ist der Forschungsrat der Vorinstanz zuständig (Art. 6 Reglement). Sofern die Gesuche die formellen Gesuchsbedingungen erfüllen, werden sie der wissenschaftlichen Evaluation zugeführt (Art. 7 Abs. 1 Reglement). Folgende Beurteilungskriterien kommen zur Anwendung: a. Wissenschaftliche Vorleistungen der Bewerberin oder des Bewerbers (Forschungs- und Lehrerfahrung im In- und Ausland, Publikationen in hochrangigen wissenschaftlichen Zeitschriften); b. Persönliche Eignung der Bewerberin oder des Bewerbers für eine erfolgreiche akademische Laufbahn; c. Mobilitätsbereitschaft der Bewerberin oder des Bewerbers vor der Gesuchseinreichung (retrospektiv) und im Hinblick auf den vorgesehenen Arbeitsort während der Förderungsprofessur (prospektiv); ein Wechsel des Arbeitsortes zu Beginn der Förderungsprofessur ist erwünscht, aber bei genügender retrospektiver Mobilität und nachvollziehbarer Begründung nicht Bedingung; d. Wissenschaftliche Qualität des geplanten Forschungsprojekts; e. Möglichkeit der Integration in das schweizerische Hochschulsystem. (Art. 7 Abs. 2 Reglement). Die Zusprache einer SNF-Förderungsprofessur erfolgt im Rahmen eines zweistufigen Auswahlverfahrens. Stufe 1: Vorauswahlverfahren: Die Evaluationsgremien beurteilen die Bewerbungen anhand der schriftlichen Unterlagen nach den Kriterien von Art. 7 Abs. 2 Bst. a bis e Reglement. Bei Bedarf können Stellungnahmen von externen Expertinnen und Experten eingeholt werden. Die Evaluationsgremien wählen die besten Gesuche für die zweite Stufe aus. Den anderen Kandidatinnen und Kandidaten wird die Ablehnung schriftlich begründet und eröffnet (Art. 8 Abs. 1 und 2 Reglement). Soweit das vorliegende Reglement keine Bestimmungen enthält, kommen die Bestimmungen des Beitragsreglements sowie des Allgemeinen Ausführungsreglements zum Beitragsreglement zur Anwendung (Art. 19 Reglement).</w:t>
      </w:r>
    </w:p>
    <w:p>
      <w:r>
        <w:rPr>
          <w:b/>
        </w:rPr>
        <w:t>E. 3.1</w:t>
      </w:r>
    </w:p>
    <w:p>
      <w:r>
        <w:t>In seiner Beschwerde bringt der Beschwerdeführer vor, er sei entgegen der Ansicht der Vorinstanz nicht stark von der Expertise des Gastinstituts abhängig. Als fortgeschrittener Forscher in Chemie und Ernährung habe er sich durch seine langjährige Tätigkeit in Analytik, Biochemie und Medizin über 12 Jahre mit Molekularanalysen in kleineren und grösseren klinischen Studien befasst, die zusammen über $ 15 Millionen an Fördergeldern erhalten hätten. Die TCM-Grundlagen (Traditionelle chinesische Medizin) habe er erfolgreich abgeschlossen und er befinde sich in einem fortgeschrittenen Studium der TCM. Dieser Sichtweise ist nicht zu folgen. Der Referent bemerkte unter der Rubrik Umfeld: "Expertise is dependent in host environment (i.e. Pr. B._______)." Auch der Korreferent machte geltend: "No expertise in pain or pain therapy. This expertise would come from the host institute Prof. B._______." Aus dem Entscheid der Evaluationskommission des Förderbereichs III (Biologie und Medizin) vom 24. Juni 2015 (in der Folge: Entscheid der Evaluationskommission) geht hervor, dass der Gesuchsteller im Hinblick auf das geplante Projekt vollkommen von der Expertise des Gastinstitutes abhängig sei. Wie die Vorinstanz zu Recht festhält, bestreitet der Beschwerdeführer nicht, dass er über mangelnde Vorkenntnis in der Schmerzforschung auf molekularer Ebene verfügt. Er bestreitet lediglich, dass diese Vorkenntnis eine wichtige Voraussetzung für das Gelingen seines Projekts sei. Damit stellt er seine wissenschaftliche Meinung derjenigen der Fachleute der Vor-instanz gegenüber. Die wissenschaftliche Meinung des Forschungsrates ist jedoch nachvollziehbar. Für eine sehr gute Beurteilungskategorie des Forschungsvorhabens wäre es unumgänglich gewesen, dass der Beschwerdeführer die Qualifikation in der Schmerzforschung bereits mitgebracht hätte. Auf Stufe Förderungsprofessur ist denn auch eine hohe Eigenständigkeit erforderlich, weshalb die Abhängigkeit vom Gastinstitut als erheblicher Mangel erachtet wird.</w:t>
      </w:r>
    </w:p>
    <w:p>
      <w:r>
        <w:rPr>
          <w:b/>
        </w:rPr>
        <w:t>E. 3.2</w:t>
      </w:r>
    </w:p>
    <w:p>
      <w:r>
        <w:t>Zur Kritik, dass der Projektplan unzureichend detailliert ausformuliert sei, bringt der Beschwerdeführer vor, er habe absichtlich auf eine zu starke Detaillierung in der Stufe 1 des Gesuchs verzichtet. Schliesslich habe die Vorinstanz verlangt, dass der Projektplan fünf Seiten zu umfassen habe. Er habe jetzt nachträglich zwei umfassendere Pläne eingereicht. Den ersten an Frau C.______ und der zweite liege der Verfügung bei. Zur Kritik der fehlenden Vorstudie bzw. zum Zweifel an der Machbarkeit bemerkt der Beschwerdeführer, er sei bisher u.a. aus finanziellen Gründen nicht in der Lage gewesen, eine solche zu realisieren. Bezüglich des Projekts machte der Referent geltend, "this application is not competitive by national and international standards." Weiter führt er aus: "The application has profound weakness that includes a lack of preliminary data, power calculations, flawed study design, insufficient track record in pain (path) physiologie of the applicant, lack of feasibility." Der Korreferent wiederum hielt fest: "I don't think that this project will lead anywhere" und "research plan lacks essential information." Im Entscheid der Evaluationskommission wurde zu Protokoll gegeben, der Projektplan sei unzureichend detailliert ausformuliert, weshalb Fragen offen blieben. Beispielsweise seien Angaben über die Anzahl der involvierten Patienten sowie die Beschreibung von statistischer Power Kalkulation nicht oder nur mangelhaft vorhanden. Des Weiteren bestünden Zweifel an der Machbarkeit der Studie, da überzeugende erste Vorstudien fehlten, welche die Machbarkeit der Studie belegen würden. Die Beurteilung der Machbarkeit eines Forschungsvorhabens fällt in die Ermessenskompetenz des Fachgremiums Forschungsrat. Das Gericht hat nur einzugreifen, wenn eine rechtsfehlerhafte Ausübung des Ermessens vorliegen würde (vgl. E. 2.1). Eine rechtsfehlerhafte Ermessensausübung ist im vorliegenden Fall nicht ersichtlich. Denn die Referierenden führen nachvollziehbar aus, aus welchen Gründen sie die Ziele des Projekts als unrealistisch einschätzen und weisen darauf hin, dass der Forschungsplan dermassen vage formuliert sei, dass die Erfolgsaussichten selbst bei realistischen Projektzielen nicht hätten beurteilt werden können. Zudem erklärt die Vorinstanz, dass es Projekte gebe, die voraussetzen, dass bereits Forschungsdaten vorliegen, die vorgängig in einem anderen Rahmen erarbeitet worden seien. Solche Projekte könnten erst eingegeben werden, wenn entsprechende Vorstudien durchgeführt worden seien. Zu den Vorarbeiten für ein entsprechendes Forschungsgesuch gehöre in solchen Fällen demzufolge, auch die Finanzierung für diesen Vorbereitungsschritt zu organisieren und dann die erforderlichen Studien zu realisieren. Es ist vorliegend festzustellen, dass solche Vorstudien nicht vorhanden sind. Was die vom Beschwerdeführer nachträglich eingereichten Verbesserungen anbelangt, ist festzuhalten, dass diese für die Beurteilung des Fördergesuchs nicht berücksichtigt werden können, da lediglich die bei Gesuchseingang bekannten und der Vorinstanz vorgelegten Erkenntnisse massgebend sind und es dem Beschwerdeführer obliegt, im Zeitpunkt der Gesuchseinreichung alle entscheidrelevanten Elemente darzulegen (BVGE 2014/2 E. 5.5.2.3.). Inwieweit die neuen Unterlagen des Beschwerdeführers der Beurteilung der Vorinstanz widersprechen, ist daher nicht Streitgegenstand des vorliegenden Verfahrens.</w:t>
      </w:r>
    </w:p>
    <w:p>
      <w:r>
        <w:rPr>
          <w:b/>
        </w:rPr>
        <w:t>E. 3.3</w:t>
      </w:r>
    </w:p>
    <w:p>
      <w:r>
        <w:t>Der Beschwerdeführer bringt in seiner Replik vor, seine wissenschaftlichen Vorleistungen seien als exzellent bezeichnet worden. Diesbezüglich ist festzuhalten, dass im Antrag des Referenten erwähnt wird, dass (...) Publikationen vorlägen und dass der Referent dies als exzellent erachtet hat. Auch der Korreferent stufte die Publikationstätigkeit des Beschwerdeführers als dessen Stärke ein. Im Entscheid der Evaluationskommission wird festgehalten, dass der Beschwerdeführer einen guten Publikationsausweis vorweisen könne. Dem stehen jedoch die vollständige Abhängigkeit des Beschwerdeführers vom Gastinstitut, die fehlenden Vorstudien sowie die fehlende Detaillierung des Projekts gegenüber, so dass der Beschwerdeführer trotz gutem Publikationsausweis keine höhere Bewertung erhalten hat.</w:t>
      </w:r>
    </w:p>
    <w:p>
      <w:r>
        <w:rPr>
          <w:b/>
        </w:rPr>
        <w:t>E. 4</w:t>
      </w:r>
    </w:p>
    <w:p>
      <w:r>
        <w:t>Zusammenfassend ist festzustellen, dass der Vorinstanz weder eine Verletzung von Bundesrecht einschliesslich Überschreitung oder Missbrauch des Ermessens noch die unrichtige oder unvollständige Feststellung des rechtserheblichen Sachverhalts zum Vorwurf gereicht. Die Ablehnung des Gesuchs war deshalb nicht zu beanstanden, so dass die Beschwerde abzuweisen ist.</w:t>
      </w:r>
    </w:p>
    <w:p>
      <w:r>
        <w:rPr>
          <w:b/>
        </w:rPr>
        <w:t>E. 5</w:t>
      </w:r>
    </w:p>
    <w:p>
      <w:r>
        <w:t>Bei diesem Ausgang des Verfahrens ergibt sich, dass der Beschwerdeführer als vollständig unterlegene Partei die Kosten des Verfahrens trägt (Art. 63 Abs. 1 VwVG, Art. 1 ff. des Reglements über die Kosten und Entschädigungen vor dem Bundesverwaltungsgericht vom 21. Februar 2008 [VGKE, SR 173.320.2]). Diese werden auf Fr. 1'000.- festgelegt und der vom Beschwerdeführer geleistete Kostenvorschuss in gleicher Höhe wird zur Bezahlung der Verfahrenskosten verwendet. Der Beschwerdeführer hat keinen Anspruch auf Parteientschädigung (Art. 64 Abs. 1 VwVG, Art. 7 Abs. 1 VGKE).</w:t>
      </w:r>
    </w:p>
    <w:p>
      <w:r>
        <w:rPr>
          <w:b/>
        </w:rPr>
        <w:t>E. 6</w:t>
      </w:r>
    </w:p>
    <w:p>
      <w:r>
        <w:t>Dieser Entscheid kann nicht mit Beschwerde an das Bundesgericht weitergezogen werden (vgl. Art. 83 Bst. k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