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B-6373/2009 vom 24. September 2010</w:t>
      </w:r>
    </w:p>
    <w:p>
      <w:r>
        <w:t>Bundesverwaltungsgericht, 2010-09-24, DE</w:t>
      </w:r>
    </w:p>
    <w:p>
      <w:r>
        <w:rPr>
          <w:b/>
        </w:rPr>
        <w:t xml:space="preserve">Quelle: </w:t>
      </w:r>
      <w:r>
        <w:t>https://mcp.opencaselaw.ch/entscheid/bvger_B-6373_2009</w:t>
      </w:r>
    </w:p>
    <w:p>
      <w:r>
        <w:t>FR: TAF B-6373/2009 du 24 septembre 2010</w:t>
      </w:r>
    </w:p>
    <w:p>
      <w:r>
        <w:t>IT: TAF B-6373/2009 del 24 settembre 2010</w:t>
      </w:r>
    </w:p>
    <w:p>
      <w:pPr>
        <w:pStyle w:val="Heading2"/>
      </w:pPr>
      <w:r>
        <w:t>Regeste</w:t>
      </w:r>
    </w:p>
    <w:p>
      <w:r>
        <w:t>Absolute Ausschlussgründe</w:t>
      </w:r>
    </w:p>
    <w:p>
      <w:pPr>
        <w:pStyle w:val="Heading2"/>
      </w:pPr>
      <w:r>
        <w:t>Erwägungen</w:t>
      </w:r>
    </w:p>
    <w:p>
      <w:r>
        <w:rPr>
          <w:b/>
        </w:rPr>
        <w:t>E. 1</w:t>
      </w:r>
    </w:p>
    <w:p>
      <w:r>
        <w:t>Die Beschwerde wird im Eventualantrag gutgeheissen. Im Übrigen ist sie abzuweisen. Die Vorinstanz wird angewiesen, der internationalen Registrierung Nr. 928 025 TAURUS in der Schweiz Schutz mit folgendem Warenverzeichnis zu gewähren: "boissons sans alcool, y compris boissons rafraîchissantes, boissons énergétiques, boissons à base de petit lait, boissons isotoniques, hypertoniques et hypotoniques (destinées à être utilisées par des sportifs et/ou adaptées à leurs besoins), à l'exception d'eaux minérales et gazeuses".</w:t>
      </w:r>
    </w:p>
    <w:p>
      <w:r>
        <w:rPr>
          <w:b/>
        </w:rPr>
        <w:t>E. 2</w:t>
      </w:r>
    </w:p>
    <w:p>
      <w:r>
        <w:t>Die reduzierten Verfahrenskosten von Fr. 500.- werden der Beschwerdeführerin auferlegt. Sie werden mit dem geleisteten Kostenvorschuss von Fr. 2'500.- verrechnet. Der Betrag von Fr. 2'000.- wird der Beschwerdeführerin nach Eintritt der Rechtskraft dieses Urteils zurückerstattet.</w:t>
      </w:r>
    </w:p>
    <w:p>
      <w:r>
        <w:rPr>
          <w:b/>
        </w:rPr>
        <w:t>E. 3</w:t>
      </w:r>
    </w:p>
    <w:p>
      <w:r>
        <w:t>Die Vorinstanz hat der Beschwerdeführerin eine reduzierte Parteientschädigung in Höhe von Fr. 3'200.- (inkl. MWST) auszurichten.</w:t>
      </w:r>
    </w:p>
    <w:p>
      <w:r>
        <w:rPr>
          <w:b/>
        </w:rPr>
        <w:t>E. 4</w:t>
      </w:r>
    </w:p>
    <w:p>
      <w:r>
        <w:t>Dieser Entscheid geht an: die Beschwerdeführerin (Rechtsvertreterin; Gerichtsurkunde; Beilage: Rückerstattungsformular) die Vorinstanz (Ref.-Nr. IR 928 025; Gerichtsurkunde) Der vorsitzende Richter: Die Gerichtsschreiberin: Marc Steiner Miriam Sahlfeld Rechtsmittelbelehrung: Gegen diesen Entscheid kann innert 30 Tagen nach Eröffnung beim Bundesgericht, 1000 Lausanne 14, Beschwerde in Zivilsachen geführt werden (Art. 72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 27. September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