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B-6283/2009 vom 26. November 2009</w:t>
      </w:r>
    </w:p>
    <w:p>
      <w:r>
        <w:t>Bundesverwaltungsgericht, 2009-11-26, DE</w:t>
      </w:r>
    </w:p>
    <w:p>
      <w:r>
        <w:rPr>
          <w:b/>
        </w:rPr>
        <w:t xml:space="preserve">Quelle: </w:t>
      </w:r>
      <w:r>
        <w:t>https://mcp.opencaselaw.ch/entscheid/bvger_B-6283_2009</w:t>
      </w:r>
    </w:p>
    <w:p>
      <w:r>
        <w:t>FR: TAF B-6283/2009 du 26 novembre 2009</w:t>
      </w:r>
    </w:p>
    <w:p>
      <w:r>
        <w:t>IT: TAF B-6283/2009 del 26 novembre 2009</w:t>
      </w:r>
    </w:p>
    <w:p>
      <w:pPr>
        <w:pStyle w:val="Heading2"/>
      </w:pPr>
      <w:r>
        <w:t>Regeste</w:t>
      </w:r>
    </w:p>
    <w:p>
      <w:r>
        <w:t>Höhere Fachprüfung</w:t>
      </w:r>
    </w:p>
    <w:p>
      <w:pPr>
        <w:pStyle w:val="Heading2"/>
      </w:pPr>
      <w:r>
        <w:t>Erwägungen</w:t>
      </w:r>
    </w:p>
    <w:p>
      <w:r>
        <w:rPr>
          <w:b/>
        </w:rPr>
        <w:t>E. 1</w:t>
      </w:r>
    </w:p>
    <w:p>
      <w:r>
        <w:t>Der angefochtene Entscheid vom 31. August 2009 stellt eine Zwischenverfügung nach Art. 5 Abs. 2 des Bundesgesetzes vom 20. Dezember 1968 über das Verwaltungsverfahren dar (VwVG, SR 172.021). Gemäss Verwaltungsgerichtsgesetz vom 17. Juni 2005 (VGG, SR 173.32) unterliegen Zwischenverfügungen der Vorinstanz der Beschwerde an das Bundesverwaltungsgericht (vgl. Art. 31, Art. 33 Bst. d i. V. m. Art. 46 Abs. 1 und 47 Abs. 1 Bst. b VwVG).</w:t>
      </w:r>
    </w:p>
    <w:p>
      <w:r>
        <w:rPr>
          <w:b/>
        </w:rPr>
        <w:t>E. 1.1</w:t>
      </w:r>
    </w:p>
    <w:p>
      <w:r>
        <w:t>Zwischenverfügungen sind jedoch nur dann selbständig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Andernfalls sind Zwischenverfügungen nur mit Beschwerde gegen die Endverfügung anfechtbar (Art. 5 Abs. 2 i. V. m. Art. 46 VwVG). Mit der beschränkten Anfechtbarkeit soll verhindert werden, dass die Beschwerdeinstanz Zwischenverfügungen überprüfen muss, die durch einen günstigen Endentscheid für den Betroffenen jeden Nachteil verlieren. Die Rechtsmittelinstanz soll sich in der Regel nur einmal mit einer Streitsache befassen müssen (Urteil des Bundesverwaltungsgerichts B-1907/2007 vom 14. Mai 2007 E. 1.1 mit Hinweis auf VPB 64.108 E. 2.1). Das besondere Rechtsschutzinteresse, das die sofortige Anfechtbarkeit einer Zwischenverfügung begründet, liegt im Nachteil, der entstünde, wenn die Anfechtung der Zwischenverfügung erst zusammen mit der Beschwerde gegen den Endentscheid zugelassen wäre (vgl. Pierre Tschannen/Ulrich Zimmerli/Markus Müller, Allgemeines Verwaltungsrecht, 3. Auflage, Bern 2009, § 28 N. 84; Felix Uhlmann/Simone Wälle-Bär, in: Praxiskommentar VwVG, Waldmann/Weissenberger [Hrsg.], Zürich 2009, Art. 46 N 4ff.). Der Nachteil im Sinne von Art. 46 Abs. 1 Bst. a VwVG kann sowohl rechtlicher als auch tatsächlicher Natur sein. Das schutzwürdige Interesse kann namentlich wirtschaftlich begründet sein, der Prozessökonomie oder der Rechtssicherheit entspringen, sofern es den Beschwerdeführern bei der Anfechtung nicht lediglich darum geht, eine Verlängerung oder Verteuerung des Verfahrens zu verhindern (Urteile des Bundesverwaltungsgerichts B-7038/2009 vom 20. November 2009 E. 1.3 und B-1100/2007 vom 6. Dezember 2007 E. 2.2.1). Das Bundesverwaltungsgericht hat mit Verweis auf die Rechtsprechung des Bundesgerichts erkannt, dass Zwischenverfügungen betreffend die Ablehnung von Beweisanerbieten nur dann selbständig anfechtbar sind, wenn die Beweise, welche erhebliche, noch nicht abgeklärte Umstände betreffen, gefährdet sind. Eine solche Gefährdung wurde beispielsweise bejaht, wenn das Beweismittel für den Fall einer späteren Beweisabnahme nicht mehr vorhanden oder nur mehr erschwert zugänglich gewesen wäre (Urteil des Bundesverwaltungsgerichts B-1907/2009, a.a.O., E. 1.1). Eine blosse mögliche Verfahrensverlängerung gilt dabei noch nicht als unheilbarer Nachteil. In der bundesgerichtlichen Praxis wurde deshalb auf Verwaltungsgerichtsbeschwerden gegen Verfügungen über die Verweigerung der Akteneinsicht regelmässig nicht eingetreten (Urteile 2A.215/2005 vom 1. September 2005 E. 1.3 sowie 2A.691/2004 vom 17. Mai 2005 E. 1.2.2 mit weiteren Hinweisen). Auch das Bundesverwaltungsgericht geht bei Gesuchen um Einsicht in Prüfungsunterlagen in ständiger Praxis davon aus, dass in der Regel kein nicht wieder gutzumachender Nachteil für den Beschwerdeführer besteht (Urteil B-1907/2007, a.a.O., E. 1.1f.; vgl. auch Felix Uhlmann/Simone Wälle-Bär, a.a.O., Art. 46 N 15 mit weiteren Hinweisen).</w:t>
      </w:r>
    </w:p>
    <w:p>
      <w:r>
        <w:rPr>
          <w:b/>
        </w:rPr>
        <w:t>E. 1.2</w:t>
      </w:r>
    </w:p>
    <w:p>
      <w:r>
        <w:t>Die Beschwerdeführerin macht geltend, indem die Vorinstanz die Akteneinsicht im beantragten Rahmen verweigert habe, sei ihr ein nicht wieder gutzumachender Nachteil entstanden. Ohne Einsicht in die verlangten Bewertungsunterlagen könne sie weder den Prüfungsentscheid nachvollziehen noch sei es ihr möglich, eine genügend substanziierte und begründete Beschwerde einzureichen. Ihr gehe damit das verfassungsmässig garantierte Recht auf ein faires und unabhängiges Verfahren verloren. Zudem trage sie das Kostenrisiko. Die weiteren Ausführungen beziehen sich auf das Akteneinsichtsrecht sowie auf die Begründungspflicht als Teilaspekte des rechtlichen Gehörs. Die Beschwerdeführerin bringt in ihrer Beschwerde damit insbesondere nicht vor, dass die von ihr beantragten Beweise gefährdet seien. Ob das rechtliche Gehör der Beschwerdeführerin im streitigen Prüfungsrekursverfahren ausreichend gewährt worden ist, kann das Bundesverwaltungsgericht auch noch im Rahmen einer gegen den Endentscheid des Bundesamtes gerichteten Beschwerde prüfen. Dass die Beschwerdeführerin einen nicht wieder gutzumachenden Nachteil erleiden sollte, wenn sie die Ablehnung ihres Gesuchs um Akteneinsicht erst zusammen mit einer allfälligen Beschwerde gegen den Endentscheid anfechten könnte, ist nicht ersichtlich. Dies gilt umso mehr, als die Beschwerdeinstanz die Parteien auf jeder Stufe des Verfahrens zu einem weiteren Schriftenwechsel einladen kann (Art. 57 Abs. 2 VwVG). Die von der Beschwerdeführerin angeführten Argumente sind unerheblich und sie vermag damit nicht durchzudringen. Auf die Beschwerde ist daher nicht einzutreten. Die Akten gehen zurück an die Vorinstanz zur Fortführung des Verfahrens.</w:t>
      </w:r>
    </w:p>
    <w:p>
      <w:r>
        <w:rPr>
          <w:b/>
        </w:rPr>
        <w:t>E. 2</w:t>
      </w:r>
    </w:p>
    <w:p>
      <w:r>
        <w:t>Bei diesem Ausgang des Verfahrens sind der Beschwerdeführerin als unterliegende Partei die Verfahrenskosten von Fr. 700.- aufzuerlegen (Art. 63 Abs. 1 VwVG). Diese sind mit dem von ihr am 23. Oktober 2009 geleisteten Kostenvorschuss in gleicher Höhe zu verrechnen. Eine Parteientschädigung wird nicht ausgerichtet (Art. 64 Abs. 1 VwVG).</w:t>
      </w:r>
    </w:p>
    <w:p>
      <w:r>
        <w:rPr>
          <w:b/>
        </w:rPr>
        <w:t>E. 3</w:t>
      </w:r>
    </w:p>
    <w:p>
      <w:r>
        <w:t>Dieser Entscheid kann nicht mit Beschwerde in öffentlich-rechtlichen Angelegenheiten an das Bundesgericht weitergezogen werden (Art. 1 Abs. 2 VGG i. V. m. Art. 83 Bst. t des Bundesgerichtsgesetzes vom 17. Juni 2005,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