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B-6257/2008 vom 23. Dezember 2009</w:t>
      </w:r>
    </w:p>
    <w:p>
      <w:r>
        <w:t>Bundesverwaltungsgericht, 2009-12-23, DE</w:t>
      </w:r>
    </w:p>
    <w:p>
      <w:r>
        <w:rPr>
          <w:b/>
        </w:rPr>
        <w:t xml:space="preserve">Quelle: </w:t>
      </w:r>
      <w:r>
        <w:t>https://mcp.opencaselaw.ch/entscheid/bvger_B-6257_2008</w:t>
      </w:r>
    </w:p>
    <w:p>
      <w:r>
        <w:t>FR: TAF B-6257/2008 du 23 décembre 2009</w:t>
      </w:r>
    </w:p>
    <w:p>
      <w:r>
        <w:t>IT: TAF B-6257/2008 del 23 dicembre 2009</w:t>
      </w:r>
    </w:p>
    <w:p>
      <w:pPr>
        <w:pStyle w:val="Heading2"/>
      </w:pPr>
      <w:r>
        <w:t>Regeste</w:t>
      </w:r>
    </w:p>
    <w:p>
      <w:r>
        <w:t>Absolute Ausschlussgründe</w:t>
      </w:r>
    </w:p>
    <w:p>
      <w:pPr>
        <w:pStyle w:val="Heading2"/>
      </w:pPr>
      <w:r>
        <w:t>Erwägungen</w:t>
      </w:r>
    </w:p>
    <w:p>
      <w:r>
        <w:rPr>
          <w:b/>
        </w:rPr>
        <w:t>E. 1</w:t>
      </w:r>
    </w:p>
    <w:p>
      <w:r>
        <w:t>Der Entscheid der Vorinstanz vom 12. September 2008 stellt eine Verfügung gemäss Art. 5 Abs. 1 Bst. c des Bundesgesetzes vom 20. Dezember 1968 über das Verwaltungsverfahren dar (VwVG, SR 172.021).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4</w:t>
      </w:r>
    </w:p>
    <w:p>
      <w:r>
        <w:t>Zwischen Deutschland und der Schweiz ist am 1. September 2008 eine neue Fassung von Art. 9sexies des Protokolls vom 27. Juni 1989 zum Madrider Abkommen über die internationale Registrierung von Marken (MMP, SR 0.232.112.4) in Kraft getreten. Diese Änderung wurde in AS 2009, 287 publiziert. Gegenüber Deutschland sind damit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571 ff.).</w:t>
      </w:r>
    </w:p>
    <w:p>
      <w:r>
        <w:rPr>
          <w:b/>
        </w:rPr>
        <w:t>E. 5</w:t>
      </w:r>
    </w:p>
    <w:p>
      <w:r>
        <w:t>Nach Art. 5 Abs. 2 MMP kann die Vorinstanz innerhalb eines Jahres ab Mitteilung einer internationalen Markenregistrierung erklären, dass sie dieser Marke den Schutz in der Schweiz verweigere. Die Notifikation der internationalen Marke Nr. 901 069 Deozinc erfolgte am 16. November 2006. Mit dem Versand der provisorischen Schutzverweigerung am 7. November 2007 hat die Vorinstanz diese Jahresfrist gewahrt.</w:t>
      </w:r>
    </w:p>
    <w:p>
      <w:r>
        <w:rPr>
          <w:b/>
        </w:rPr>
        <w:t>E. 6</w:t>
      </w:r>
    </w:p>
    <w:p>
      <w:r>
        <w:t>Gemäss Art. 5 Abs. 1 MMP in Verbindung mit Art. 6quinquies Bst. B Ziff. 2 der Pariser Übereinkunft zum Schutz des gewerblichen Eigentums, revidiert in Stockholm am 14. Juli 1967 (PVÜ, SR 0.232.04), darf einer Marke der Schutz namentlich verweigert werden, wenn sie jeder Unterscheidungskraft entbehrt oder ausschliesslich aus beschreibenden Angaben besteht. Dieser zwischenstaatlichen Regelung entspricht Art. 2 Bst. a MSchG, wonach eine Marke vom Schutz ausgeschlossen ist, wenn sie zum Gemeingut gehört. Lehre und Praxis zu diesen Bestimmungen können damit vorliegend herangezogen werden (BGE 128 III 457 E. 2 Yukon, BGE 114 II 373 E. 1 Alta tensione).</w:t>
      </w:r>
    </w:p>
    <w:p>
      <w:r>
        <w:rPr>
          <w:b/>
        </w:rPr>
        <w:t>E. 7</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(Urteil des Bundesgerichts 4C.439/2006 vom 4. April 2007 E. 5.1 Eurojobs mit Verweis auf BGE 131 III 495 E. 5 Felsenkeller und BGE 128 III 447 E. 1.5 Premiere). Es reicht deshalb nicht aus, dass die Marke Gedankenassoziationen weckt oder Anspielungen enthält, die nur entfernt auf die Ware oder Dienstleistung hindeuten, um sie zur Beschaffenheitsangabe werden zu lassen. Konkret unterscheidungskräftige, jedoch für den Geschäftsverkehr unentbehrliche (d.h. absolut freihaltebedürftige) Zeichen sind ebenfalls nicht schutzfähig und zudem keiner Verkehrsdurchsetzung zugänglich (vgl. BGE 120 II 144 E. 3.b.bb Yeni Raki, BGE 118 II 181 E. 3c Duo, BGE 117 II 321 E. 3 Valser). Die fehlende Unterscheidungskraft wie auch ein absolutes Freihaltebedürfnis können auch beim selben Zeichen gleichzeitig vorliegen (vgl. Jürg Müller, Unterscheidungskraft, Freihaltebedürfnis, Verkehrsdurchsetzung, in: INGRES [Hrsg.], Marke und Marketing, Bern 1990, S. 207; Eugen Marbach, in: Schweizerisches Immaterialgüter- und Wettbewerbsrecht, Bd. III, Kennzeichnungsrecht, 2. Auflage, Basel 2009, Markenrecht, N. 246 ff.). Der Umstand, dass ein Zeichen neuartig, ungewohnt, fremdsprachig oder sprachregelwidrig ist, schliesst seinen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E. 3.1 Discovery Travel &amp; Adventure Channel, publ. in sic! 2004, 400).</w:t>
      </w:r>
    </w:p>
    <w:p>
      <w:r>
        <w:rPr>
          <w:b/>
        </w:rPr>
        <w:t>E. 8</w:t>
      </w:r>
    </w:p>
    <w:p>
      <w:r>
        <w:t>Marken sind im Gesamteindruck aus der Sicht der Abnehmerkreise zu beurteilen, an die das Angebot der Waren oder Dienstleistungen gerichtet ist (Lucas David, in: Kommentar zum schweizerischen Privatrecht, Markenschutzgesetz/Muster- und Modellgesetz, Basel 1999, MSchG Art. 2 N. 8 f.).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publ. in sic! 2005, 278). Im Falle mehrdeutiger Zeichen ist entsprechend zu prüfen, welche Bedeutung im Zusammenhang mit den beanspruchten Waren und Dienstleistungen dominiert und deshalb für die markenrechtliche Beurteilung ausschlaggebend ist (Entscheid der Rekurskommission für geistiges Eigentum [RKGE] vom 27. Januar 2004 E. 7 Europac, in sic! 2004, 671).</w:t>
      </w:r>
    </w:p>
    <w:p>
      <w:r>
        <w:rPr>
          <w:b/>
        </w:rPr>
        <w:t>E. 9</w:t>
      </w:r>
    </w:p>
    <w:p>
      <w:r>
        <w:t>Im vorliegenden Fall ist die Kennzeichnungskraft der Marke bezüglich der beanspruchten Waren der Klasse 3 umstritten. Dabei handelt es sich um Hygienewaren, Körperpflege- und Schönheitspflegeprodukte. Es sind Waren, die sich in erster Linie an den Konsumenten bzw. Endabnehmer und zu einem geringeren Teil auch an Fachleute richten. Bei den massgebenden Verkehrskreisen handelt es sich somit primär nicht um Spezialisten. Soweit daher die konkrete Unterscheidungskraft des Zeichens Deozinc geprüft wird, ist bei der Beurteilung der Schutzfähigkeit des Zeichens auf die Sichtweise dieser Verkehrskreise abzustellen. Für die Beurteilung eines allfälligen Freihaltebedürfnisses ist demgegenüber die Sichtweise der Konkurrenten der Hinterlegerin einer Marke massgebend (Christoph Willi, Markenschutzgesetz, Zürich 2002, Art. 2 N. 44). Im vorliegenden Fall sind dies Unternehmen, welche gleiche oder ähnliche Produkte herstellen bzw. anbieten und somit die auf dem schweizerischen Kosmetik- und Pharmamarkt tätigen Konkurrenzbetriebe.</w:t>
      </w:r>
    </w:p>
    <w:p>
      <w:r>
        <w:rPr>
          <w:b/>
        </w:rPr>
        <w:t>E. 10</w:t>
      </w:r>
    </w:p>
    <w:p>
      <w:r>
        <w:t>Bei Deozinc handelt es sich um eine Wortneuschöpfung, die sich aus den beiden Bestandteilen "Deo" und "zinc" zusammensetzt. Die Vorinstanz verneinte die Eintragungsfähigkeit des Zeichens für produits pour l'hygiène intime et produits cosmétiques de soin de beauté; crèmes non médicamenteuses, préparations liquides, poudres et pulvérisateurs pour les soins des pieds, produits visant à réduire et éliminer la transpiration des pieds in Klasse 3 im Wesentlichen mit der Begründung, dass die Wortkombination im Sinne von "déodorant zinc" verstanden werde und in Zusammenhang mit den betroffenen Waren somit direkt beschreibend sei. Demgegenüber vertritt die Beschwerdeführerin die Auffassung, dass der Wortverbindung kein offensichtlicher Sinngehalt zukomme. Das Zeichen sei mehrdeutig sowie sprachregelwidrig gebildet und daher nicht beschreibend. Zwischen den Parteien ist demnach umstritten, ob das Zeichen von den relevanten Verkehrskreisen im Sinne von "déodorant zinc" bzw. "Zinkdeodorant" aufgefasst wird und ob ein solches Markenverständnis für die betroffenen Waren kennzeichnungskräftig ist.</w:t>
      </w:r>
    </w:p>
    <w:p>
      <w:r>
        <w:rPr>
          <w:b/>
        </w:rPr>
        <w:t>E. 11</w:t>
      </w:r>
    </w:p>
    <w:p>
      <w:r>
        <w:t>Zu prüfen ist zuerst, ob der Schweizer Durchschnittskonsument dem Ausdruck "Deozinc" die Bedeutung "Zinkdeodorant" beimisst, und falls ja, ob er dies auch mit der umstrittenen Marke tut.</w:t>
      </w:r>
    </w:p>
    <w:p>
      <w:r>
        <w:rPr>
          <w:b/>
        </w:rPr>
        <w:t>E. 11.1</w:t>
      </w:r>
    </w:p>
    <w:p>
      <w:r>
        <w:t>Die Beschwerdeführerin führte aus, dass "Deo" neben der Abkürzung für "Deodorant" die Dativ- und Ablativform des lateinischen Begriffs "deus" (Gott) darstelle und "zinc" sich mit "Zink", "Theke", "Schranktisch", "Flugzeug", und - als Bezeichnung für ein Flugzeug - mit "Kiste" übersetzen lasse. Beim Begriff "Deo" bzw. "déo" handelt es sich in der deutschen und französichen Sprache um die gebräuchliche Abkürzung für Deodorant bzw. déodorant. Diese fand bereits auch Aufnahme in die Wörterbücher (Duden, 6. Auflage, Mannheim 2007, S. 389; Le Nouveau Petit Robert, Paris 2007, S. 679). Ebenfalls im Englischen ist die Verwendung der Kurzform "deo" für "deodorant" umgangssprachlich weit verbreitet. Seltener wird die Abkürzung dagegen im Italienischen für "deodorante" verwendet, dürfte aber auch in diesem Sprachraum grösstenteils verstanden werden. Im Lateinischen stellt das Wort "deo", wie die Beschwerdeführerin richtigerweise festgestellt hat, die Dativ- und Ablativform von "deus" dar. Beim Markenbestandteil "zinc" handelt es sich um das französische und englische Wort für das Metall Zink. Der Begriff wird aufgrund des bläulich-weissen Metallglanzes in der französischen Umgangssprache auch für Bartheken bzw. Bistrots und alte Flugzeuge verwendet (Le Nouveau Petit Robert, a.a.O., S. 2761). Im deutschen und italienischen Sprachraum dürfte unter "zinc" das Metall verstanden werden, verfügen die Übersetzungen doch über denselben Wortstamm ("Zink" bzw. "zinco"). Auch wenn ein nicht unbeachtlicher Teil der schweizerischen Marktteilnehmer den lateinischen Begriff "deo" von Kirchenlieder und Predigten her kennt, so dürften in Verbindung mit "zinc" nur die wenigsten an einen religiösen Sinngehalt denken. In Kombination mit Deodorant erscheinen die umgangssprachlichen Bedeutungen Bartheke, Bistrot bzw. altes Flugzeug verfehlt, weshalb auch der französischsprachige Verkehrsteilnehmer unter dem Zeichenbestandteil "zinc" das Metall versteht. Es muss daher davon ausgegangen werden, dass der Schweizer Durchschnittskonsument die Wortkombination "Deozinc" am ehesten im Sinne von "Zinkdeodorant" auffasst.</w:t>
      </w:r>
    </w:p>
    <w:p>
      <w:r>
        <w:rPr>
          <w:b/>
        </w:rPr>
        <w:t>E. 11.2</w:t>
      </w:r>
    </w:p>
    <w:p>
      <w:r>
        <w:t>Die zur Diskussion stehenden Waren dienen der persönlichen Körper- und Schönheitspflege. Darunter fallen insbesondere auch Produkte zur Geruchsbeseitigung, weshalb der Bezug des Markenbestandteils "Deo" auf Deodorant für sämtliche Pflegeprodukte offensichtlich ist. Dies liegt umso näher, als auch gewöhnliche Cremes und Waschlotionen geruchlich optimiert bzw. darauf ausgerichtet sein können, missfallende Geruchspartikel zu eliminieren. Bei Zink handelt es sich um ein bläulich-weiss glänzendes Metall, das als Werk- und Baustoff Verwendung findet. In der Pharmazie bedient man sich der desinfiszierenden und astringierenden Wirkung seines Oxidats (Meyers Grosses Universallexikon, Mannheim 1986, Bd. 15, S. 590 ff.; Grand Larousse Universel, Paris 1991, Bd. 15, S. 11018 f.). Wie die Vorinstanz zurecht darauf hingewiesen hat, findet Zinkoxid in Deodorants Anwendung. Dies war bereits Ende des 19. Jahrhunderts der Fall und trifft zum Teil auch noch auf die heutigen Deodorants zu, wie die zahlreichen Ergebnisse bei einer Internetsuche mit den Begriffen "zinc" und "deodorant" aufzeigen, wobei die Suchresultate nur teilweise von den Produkten der Beschwerdeführerin stammen. Zinkoxid ist ein möglicher Inhaltsstoff von Körper- und Schönheitspflegeprodukten und stellt somit für die in Frage stehenden Waren eine Beschaffenheitsangabe dar. Auch wenn von den Verkehrsteilnehmern einzig die Fachleute um die genaue Wirkungsweise des Zinkoxids wissen dürften, so liegt auch für den wissenschaftlich weniger versierten Konsumenten auf der Hand, dass es sich bei Zink um einen Inhaltsstoff der damit bezeichneten Produkte handeln muss. Dem Schweizer Durchschnittskonsumenten drängt sich beim umstrittenen Zeichen Deozinc in Verbindung mit den Waren der Klasse 3 der Sinngehalt "Zinkdeodorant" geradezu auf. Andere Bedeutungsmöglichkeiten scheinen dagegen abwegig.</w:t>
      </w:r>
    </w:p>
    <w:p>
      <w:r>
        <w:rPr>
          <w:b/>
        </w:rPr>
        <w:t>E. 11.3</w:t>
      </w:r>
    </w:p>
    <w:p>
      <w:r>
        <w:t>Bezüglich der geltend gemachten sprachlichen Verfremdung des Zeichens lässt sich anfügen, dass das blosse Aneinanderschreiben der beiden Wörter nicht geeignet ist, den Sinngehalt zu kaschieren, zumal dies akustisch gar nicht wahrnehmbar ist. So verleiht der Zusammenzug von Wortelementen einem an sich gemeinfreien Zeichen keinen unterscheidungskräftigen Gesamteindruck (RKGE in sic! 2004, 222 smartModule und smartCore). Wie bereits erwähnt können auch Wortneuschöpfungen Gemeingut sein, wenn ihr Sinn für die Kreise, an die sie sich richten, auf der Hand liegt (RKGE in sic! 2004, 775 Ready2Snack).</w:t>
      </w:r>
    </w:p>
    <w:p>
      <w:r>
        <w:rPr>
          <w:b/>
        </w:rPr>
        <w:t>E. 11.4</w:t>
      </w:r>
    </w:p>
    <w:p>
      <w:r>
        <w:t>Es lässt sich daher festhalten, dass der internationalen Registrierung Deozinc bezüglich sämtlicher in Frage stehender Waren die Kennzeichnungskraft fehlt. Der schweizerische Durchschnittskonsument erkennt in ihr ohne Fantasieaufwand einen Hinweis auf die desodorierenden Eigenschaften der Körper- und Schönheitspflegeprodukte sowie den Inhaltsstoff Zink. Es handelt sich folglich um eine zum Gemeingut zu zählende Beschaffenheitsangabe. Ebenso besteht an nicht kennzeichnungskräftigen Zeichen - auch ohne, dass sie für den Wirtschaftsverkehr unentbehrlich wären - ein Freihaltebedürfnis (vgl. Teil 4 Ziffer 4.4.2 der Richtlinien in Markensachen, Bern 2008).</w:t>
      </w:r>
    </w:p>
    <w:p>
      <w:r>
        <w:rPr>
          <w:b/>
        </w:rPr>
        <w:t>E. 12</w:t>
      </w:r>
    </w:p>
    <w:p>
      <w:r>
        <w:t>Die Beschwerdeführerin berief sich ferner unter Hinweis auf die in der Schweiz als kennzeichnungskräftig befundenen zweigliedrigen Marken DUROGRIP, SURESTORE, WARRANT PHONE, MicroLink, STARLINE, Spacestar, Advance Bank, MINIBON sowie PROTEOMASTER implizit auf das Gleichbehandlungsgebot. Ausserdem gelte es, da es sich beim umstrittenen Zeichen zumindest um ein Grenzfall handle, dessen Eintragung in den Vereinigten Staaten von Amerika, in Norwegen sowie als europäische Gemeinschaftsmarke zu berücksichtigen.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803 We keep our promises), zumal bereits geringfügige Unterschiede im Hinblick auf die Beurteilung der Schutzfähigkeit eines Zeichens von grosser Bedeutung sein können (RKGE in sic! 1998, 303 Masterbanking). Das Bundesverwaltungsgericht kennt die näheren Umstände der Eintragung der von der Beschwerdeführerin aufgeführten, im schweizerischen Markenregister eingetragenen Zeichen nicht. Festhalten lässt sich jedoch, dass gemäss bundesgerichtlicher Rechtsprechung nur ausnahmsweise ein Anspruch auf Gleichbehandlung im Unrecht besteht, nämlich dann, wenn eine ständige gesetzwidrige Praxis einer rechtsanwendenden Behörde vorliegt und die Behörde zu erkennen gibt, dass sie auch in Zukunft nicht von dieser Praxis abzuweichen gedenkt (BGE 127 I 1 E. 3a). Dies ist vorliegend offensichtlich nicht der Fall. Im Übrigen haben nach ständiger Praxis ausländische Eintragungsentscheide keine präjudizielle Wirkung (Eugen Marbach, a.a.O., N. 224). Auch handelt es sich vorliegend nicht um einen Grenzfall, der es nahe legen würde, die ausländischen Entscheidungen als Indizien zu berücksichtigen (vgl. BGer in sic! 2005, 280 Firemaster und RKGE in sic! 2003, 903 Proroot). Zusammenfassend ergibt sich, dass die Vorinstanz der internationalen Registrierung Nr. 901 069 Deozinc für die umstrittenen Waren der Klasse 3 zurecht die Eintragung in das schweizerische Markenregister verweigert hat. Die Beschwerde ist demnach als unbegründet abzuweisen.</w:t>
      </w:r>
    </w:p>
    <w:p>
      <w:r>
        <w:rPr>
          <w:b/>
        </w:rPr>
        <w:t>E. 13</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