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B-6251/2015 vom 8. Juli 2016</w:t>
      </w:r>
    </w:p>
    <w:p>
      <w:r>
        <w:t>Bundesverwaltungsgericht, 2016-07-08, FR</w:t>
      </w:r>
    </w:p>
    <w:p>
      <w:r>
        <w:rPr>
          <w:b/>
        </w:rPr>
        <w:t xml:space="preserve">Quelle: </w:t>
      </w:r>
      <w:r>
        <w:t>https://mcp.opencaselaw.ch/entscheid/bvger_B-6251_2015</w:t>
      </w:r>
    </w:p>
    <w:p>
      <w:r>
        <w:t>FR: TAF B-6251/2015 du 8 juillet 2016</w:t>
      </w:r>
    </w:p>
    <w:p>
      <w:r>
        <w:t>IT: TAF B-6251/2015 del 8 luglio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b OPT HES, relevant qu'une telle interprétation est arbitraire dans son résultat. A ce propos, elle soutient en substance, d'une part, que la liste dressée à ladite disposition omet de nombreuses formations complémentaires en soins infirmiers qui étaient dispensées par l'ASI ou la CRS et ne tient pas compte des formations actuelles de niveau tertiaire (CAS et DAS) du domaine des soins infirmiers des HES et, d'autre part, qu'en dépit du fait qu'elle n'y figure pas, sa spécialisation en oncologie est équivalente à la formation HöFa I de l'ASI décrite au chiffre 4 de la disposition précitée. En outre, elle invoque notamment une inégalité de traitement entre les formations en soins infirmiers et les autres formations HES du domaine de la santé, pour lesquelles des listes non exhaustives ont été élaborées avec les associations professionnelles concernées. Pour le reste, elle requiert l'audition de représentants de l'ASI et de la CRS.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 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 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 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il convient d'examiner la constitutionnalité de l'art. 1 al. 4 let. b OPT 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 1872/2011 du 27 février 2012 consid. 5.1, B 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 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 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la recourante en lien avec la portée de l'art. 1 al. 4 let. b ch. 4 - et ch. 15 - OPT-HES.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b OPT HES, en tenant compte du large pouvoir d'appréciation dont a bénéficié le DFE/DEFR pour réglementer la question. 5. La recourante se plaint principalement d'une interprétation trop restrictive de l'art. 1 al. 4 let. b OPT-HES, en tant que l'autorité inférieure exige, en substance, la titularité d'un certificat correspondant en tout point à l'un de ceux listés à ladite disposition ; elle relève qu'en procédant de la sorte, elle ne tient pas compte du fait que sa spécialisation en oncologie est équivalente à celle de soins à la personne âgée et de soins palliatifs et omet d'autres anciennes formations complémentaires en soins infirmiers ainsi que des formations actuelles de niveau tertiaire.</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Le Tribunal administratif fédéral doit faire preuve d'une grande retenue dans l'examen des arguments présentés en lien avec l'OPT-HES et ne saurait annuler la décision de l'autorité inférieure si celle-ci paraît soutenable au regard de l'interprétation qu'elle propose de ladite ordonnance (cf. consid. 4.5). Dans sa jurisprudence (cf. ATF 125 V 21 consid. 6a, repris notamment dans l'arrêt du TF 9C_85/2013 du 15 avril 2013 consid. 2.2), le Tribunal fédéral a déjà précisé, en matière d'assurances sociales - dans le cadre de l'examen de la légalité et de la constitutionnalité d'une ordonnance fondée sur une délégationlégislative -, que s'il était en principe habilité à examiner le contenu d'une liste de maladies ou de prestations, il s'imposait une grande retenue dans cet examen, compte tenu du fait que, d'une part, l'ordonnance souvent révisée dans ce domaine pouvait être corrigée à bref délai par le délégataire et, d'autre part, le juge n'avait pas la possibilité, dans le système de la liste, d'en étendre le contenu par un raisonnement analogique ; il a cependant ajouté qu'un complément reste en revanche possible, lorsque l'énumération donnée par la liste n'est pas exhaustive.</w:t>
      </w:r>
    </w:p>
    <w:p>
      <w:r>
        <w:rPr>
          <w:b/>
        </w:rPr>
        <w:t>E. 5.4</w:t>
      </w:r>
    </w:p>
    <w:p>
      <w:r>
        <w:t>Aux termes de l'art. 1 al. 4 let. d OPT-HES, il ressort que les requérants qui ne sont pas titulaires d'un des trois diplômes d'une formation spécialisée supérieure en soins infirmiers de niveau II listés aux ch. 1 à 3 de l'art. 1 al. 4 let. b OPT-HES doivent avoir effectué en sus, dans le domaine d'études de la santé, un cours postgrade de niveau universitaire ou une autre formation continue équivalente. Il peut en être déduit que la liste exhaustive de ce dernier contient à tout le moins deux niveaux différents de formations complémentaires.</w:t>
      </w:r>
    </w:p>
    <w:p>
      <w:r>
        <w:rPr>
          <w:b/>
        </w:rPr>
        <w:t>E. 5.5.1</w:t>
      </w:r>
    </w:p>
    <w:p>
      <w:r>
        <w:t>Dans son rapport explicatif de novembre 2014 concernant la modification du 4 décembre 2014 de l'OPT-HES (RO 2014 4481), le DEFR expose en particulier, au sujet de l'art. 1 al. 4 let. b OPT-HES (p. 3 et 5 dudit rapport), que : "[...]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Les titulaires des diplômes susmentionnés [art. 1 al. 4 let. b OPT-HES] doivent, en plus, avoir suivi une formation spécialisée qualifiante en soins infirmiers (let. b). Ces formations spécialisées transmettent les compétences suivantes, requises pour l'obtention d'un titre HES : - Les titulaires d'un diplôme d'une formation spécialisée supérieure en soins infirmiers de niveau II (ch. 1 à 3) justifient de compétences approfondies dans les domaines de la théorie des soins, de la recherche et de l'application de la recherche, ainsi que dans le développement de la qualité et de l'organisation. En leur qualité d'experts, ils sont responsables de la conduite technique dans leur champ professionnel, participent à des projets de recherche et sont responsables de l'assurance de la qualité dans les institutions. Sont entre autres admis à une formation spécialisée supérieure de niveau II (Certificat d'infirmière clinicienne/infirmier clinicien II ou Diploma CRS indirizzo clinico), les titulaires d'un diplôme en soins infirmiers reconnu par la CRS qui ont en outre suivi une formation spécialisée supérieure de niveau I ou une formation continue au minimum de ce niveau. La formation comprend au moins 600 leçons. Les diplômes de la formation spécialisée supérieure de niveau II (Certificat d'infirmière clinicienne/infirmier clinicien II ou Diploma CRS indirizzo clinico) ont été délivrés uniquement par des établissements de formation (BIZ, Kaderschule für die Krankenpflege Aarau, WE'G, ESEI, Scuola superiore per le formazioni sanitarie) qui justifient d'une grande expérience et d'une large reconnaissance dans la branche et garantissent la qualité de la formation. - Les formations spécialisées supérieures en soins infirmiers de niveau I (ch. 4 à 7) sont orientées vers l'approfondissement du processus des soins infirmiers. Les diplômés sont capables, par leurs connaissances étendues et approfondies des soins infirmiers, de diriger des équipes de soignants dans la maîtrise des situations complexes et d'améliorer la qualité des soins. Sont entre autres admis à une formation spécialisée supérieure de niveau I, les titulaires d'un diplôme d'infirmière/infirmier reconnu par la CRS. Les formations spécialisées supérieures de niveau I comprennent au minimum 330 leçons (à raison de six leçons par jour d'enseignement). La qualité de la formation, pour les formations reconnues par l'ASI, est assurée par l'association professionnelle elle-même. Pour les diplômes délivrés par les prestataires mentionnés dans l'ordonnance, la qualité de la formation est garantie par l'institution concernée. - Les formations d'infirmière / infirmier en santé publique reconnues par la CRS (ch. 8) sont des formations qualifiantes en soins infirmiers, dont les conditions d'admission sont comparables aux formations spécialisées de niveau I, et qui comprennent 600 leçons. En Suisse romande et au Tessin, elles ont parfois été proposées avec les mêmes axes thématiques que les formations spécialisées de niveau I. De ce fait, elles sont considérées comme équivalentes à ces dernières. - Les autres formations analogues (ch. 9 à 15) correspondent dans une large mesure, en termes de conditions d'admission, de volume et d'orientation thématique, aux formations mentionnées aux ch. 4 à 8 et, par conséquent, aux exigences d'une OPT en soins infirmiers axée sur les compétences."</w:t>
      </w:r>
    </w:p>
    <w:p>
      <w:r>
        <w:rPr>
          <w:b/>
        </w:rPr>
        <w:t>E. 5.5.2</w:t>
      </w:r>
    </w:p>
    <w:p>
      <w:r>
        <w:t>Au regard de ce rapport explicatif, il appert que, si l'art. 1 al. 4 let. b OPT HES contient une liste de quinze diplômes et formations, il n'en demeure pas moins que ceux-ci sont en réalité classés en quatre catégories, à savoir : les titulaires d'un diplôme d'une formation spécialisée supérieure en soins infirmiers de niveau II (ch. 1 à 3, ci-après : la catégorie I), les formations spécialisées supérieures en soins infirmiers de niveau I (ch. 4 à 7 ; ci-après : la catégorie II), les formations d'infirmier en santé publique (ch. 8 ; ci-après : la catégorie III) et les autres formations analogues (ch. 9 à 15 ; ci-après : la catégorie IV). De même, si le projet de rapport datant de décembre 2013 - qui a été soumis pour détermination aux cercles intéressés lors de la procédure d'audition s'étant déroulée de décembre 2013 à avril 2014 - contenait seulement une liste de sept formations en lien avec l'art. 1 al. 4 let. b OPT-HES, celles-ci étaient déjà réparties en trois catégories, soit "les titulaires d'un diplôme d'infirmier diplômé clinicien niveau II" (vraisemblablement ch. 1 et 2 de la liste actuelle), "les formations d'infirmier diplômé clinicien niveau I" (vraisemblablement ch. 3 à 5 de la liste actuelle) et les trois diplômes cités aux ch. 6 et 7 (p. 3 et 4 dudit projet). Chacune des quatre catégories décrites dans le rapport explicatif de novembre 2014 comprend un ensemble de critères qualitatifs et quantitatifs plus ou moins précis permettant de les délimiter. Ainsi, la catégorie I spécifie précisément les titres visés, les formations suivies ainsi que les établissements qui dispensent celles-ci. Sans faire référence à des titres particuliers, la catégorie II détermine pour le reste les mêmes éléments. Quant à elle, la catégorie III décrit les formations suivies sans préciser les titres et les établissements. Enfin, la catégorie IV définit uniquement les formations en relation avec celles des catégories II et III. De manière générale, au regard des quatre catégories exposées, la liste établie à l'art. 1 al. 4 let. b OPT-HES paraît certes exhaustive quant aux types de formations, mais non quant aux diplômes proprement dits. En outre, par sa formulation relativement imprécise, la catégorie IV de la liste de l'art. 1 al. 4 let. b OPT HES ne vise aucune formation prédéfinie contrairement aux autres catégories ; compte tenu des critères comparatifs que celle-ci propose, les formations listées aux ch. 9 à 15 paraissent l'avoir été plutôt du fait qu'elles répondent dans une certaine mesure qualitative et quantitative à d'autres figurant dans la liste. Ladite catégorie ne définissant pas de façon autonome les formations qu'elle contient, il semble nécessaire, à l'aune de l'interprétation historique, de procéder par comparaison.</w:t>
      </w:r>
    </w:p>
    <w:p>
      <w:r>
        <w:rPr>
          <w:b/>
        </w:rPr>
        <w:t>E. 5.6</w:t>
      </w:r>
    </w:p>
    <w:p>
      <w:r>
        <w:t>En l'occurrence, l'autorité inférieure refuse de prendre en compte le titre de la recourante pour le motif que, d'une part, le canton dans lequel il a été délivré n'en a jamais fait mention lors de la procédure d'audition, de sorte qu'il ne peut plus être pris en considération, et, d'autre part, qu'il ne répond pas aux mêmes domaines de compétence. Elle souligne ainsi qu'un examen sommaire ne permet pas d'arriver à la conclusion que le titre de la recourante est comparable à celui du chiffre 15 de la disposition en cause, ceux-ci n'étant pas assez proches. D'abord, lorsqu'elle précise dans sa détermination du 24 février 2016 que de nombreux participants à la procédure d'audition sur la mise à jour de l'OPT-HES n'ont pas répondu aux maintes invitations du DEFR en vue de recueillir les informations nécessaires à l'établissement d'une liste complète, l'autorité inférieure admet elle-même implicitement que la liste concernée est éventuellement lacunaire, en ce sens que le nombre de titres qu'elle contient puisse se révéler en réalité plus grand. Ensuite, elle soutient que la procédure d'audition a eu pour but d'établir "la liste des formations équivalentes et correspondantes aux critères fixés", ce qui vient attester que l'établissement de la liste exhaustive s'est fondé sur une approche comparative des formations. Sans exclure, par conséquent, l'éventuel caractère lacunaire de la liste de l'art. 1 al. 4 let. b OPT-HES, l'autorité inférieure prône cependant l'interdiction de la compléter - indépendamment de la comparabilité apparente du contenu d'une formation tierce - soutenant que celle-ci doit impérativement correspondre en tout point à celles figurant à ladite disposition, soit, en l'espèce, porter entièrement sur les mêmes domaines de compétence. Cette interprétation strictement littérale que défend l'autorité inférieure est toutefois susceptible de violer la Cst., en particulier les droits fondamentaux que sont l'interdiction de l'arbitraire et l'égalité de traitement. De plus, elle ne s'accorde aucunement avec la volonté du législateur, dont les contours sont pourtant dressés dans la détermination du 24 février 2016, en lien avec le but de la procédure d'audition. Dans le cas particulier, l'autorité inférieure ne saurait refuser de procéder à une comparaison du certificat de la recourante avec celui dont elle fait référence, pour la seule raison que son titre ne peut plus être pris en compte au regard de l'exhaustivité de la liste visée ; une application aussi restrictive violerait les droits fondamentaux précités, dès lors qu'une telle différence de traitement ne reposerait sur aucun motif raisonnable au regard des situations de fait à régler. En effet, les conséquences d'un éventuel oubli ou défaut de collaboration passé d'une partie intéressée à la procédure d'audition ne sauraient porter préjudice de la sorte à la situation de la recourante, lorsqu'il n'est pas exclu que le délégataire eût admis une telle formation parmi les autres listées, s'il en avait appris l'existence à l'époque. Il faut souligner que, si le titre de la recourante diffère de celui figurant au chiffre 15 de la liste concernée, en ce sens que le premier porte sur la formation de soins infirmiers en oncologie, alors que le second sur celle de soins à la personne âgée et soins palliatifs, force est de constater que les formations qu'il sanctionne ont été dispensées par le même établissement reconnu, soit "Le Bon Secours". Ainsi, compte tenu de la particularité du cas d'espèce, l'autorité inférieure ne peut pas s'exempter de comparer les deux formations, au regard des critères qualitatifs et quantitatifs contenus dans les catégories II - à laquelle appartient la formation décrite au chiffre 4 de la liste exhaustive dont se prévaut la recourante (cf. consid. C) - III et IV, à laquelle appartient la formation figurant au chiffre 15. L'autorité inférieure soutient certes qu'un examen sommaire ne permettrait pas de retenir l'équivalence entre la formation de la recourante et celle du chiffre 15 de la liste concernée. Cependant, un tel examen n'est pas suffisant ; l'autorité inférieure est tenue de procéder à un examen matériel complet, en prenant en considération l'ensemble des critères qualitatifs et quantitatifs précités, compte tenu du fait que la formation dont se prévaut la recourante constitue une formation que le délégataire aurait éventuellement pu être amené à retenir s'il en avait eu connaissance. S'étant abstenue de procéder de la sorte, l'autorité inférieure n'a fourni, en l'état, aucune motivation justifiant le rejet de la demande reçue le 6 août 2015 sous l'angle de l'art. 1 al. 4 let. b OPT-HES, soit l'une des conditions à remplir par la recourante pour l'obtention a posteriori du titre HES en soins infirmiers. Partant, le recours du 2 octobre 2015 doit être admis et la décision du 4 septembre 2015 annulée. 6.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1991, n° 2058 p. 426 ; Fritz Gygi, Bundesverwaltungsrechtspflege, 2e éd., 1983, p. 233). De surcroît, la réforme est inadmissible lorsque des questions pertinentes doivent être tranchées pour la première fois et que l'autorité inférieure dispose d'un certain pouvoir d'appréciation (cf. notamment arrêts du TAF B-1300/2014 du 7 mai 2015 consid. 8, B-4420/2010 du 24 mai 2011 consid. 6 et B 1181/2010 du 8 septembre 2010 consid. 4). En l'occurrence, la formation de la recourante doit être examinée au regard des critères qualitatifs et quantitatifs contenus dans les catégories IV ainsi que II et III. De même, les conditions visées par les lettres c et d de l'art. 1 al. 4 OPT-HES n'ont pas été examinées plus avant. Aussi, compte tenu du pouvoir d'appréciation de l'autorité inférieure, l'affaire n'est pas à même d'être jugée. La décision entreprise doit donc être annulée et la cause renvoyée pour nouvelle décision. 7. S'agissant de la requête tendant à l'audition de représentants de l'ASI et de la CRS, le tribunal de céans considère, par appréciation anticipée des preuves (cf. ATF 136 I 229 consid. 5.3 et réf. cit.), qu'il n'est pas nécessaire d'y donner suite, dès lors que la cause est de toute manière renvoyée. Toutefois, cette mesure d'instruction ainsi que d'autres pourront être ordonnées par l'autorité inférieure, si elles se révèlent opportunes. 8.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de frais de Fr. 1'000.- versée, le 12 octobre 2015, par la recourante lui sera restituée, dès l'entrée en force du présent arrêt. 9.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de la décision, un décompte de leurs prestations ; à défaut, le tribunal fixe l'indemnité sur la base du dossier (art. 14 FITAF). En l'occurrence, la recourante a droit à des dépens, dès lors qu'elle obtient gain de cause et est représentée par une avocate, dûment légitimée par procuration. L'intervention de celle-ci a impliqué le dépôt d'un recours de 10 pages, d'une réplique de 3 pages et d'un courrier de 2 pages. Compte tenu de l'ampleur et de la complexité de l'affaire ainsi que de la connexité de cette dernière avec d'autres affaires dont l'avocate s'est occupée, il se justifie - au regard du barème précité ainsi que de l'absence de note de frais et d'honoraires - d'allouer à la recourante une indemnité équitable de dépens d'un montant de Fr. 1'200.- (TVA comprise), à la charge de l'autorité inférieure, dès l'entrée en force du présent arrêt (art. 64 al. 2 PA). 10.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