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B-622/2021 vom 25. Juli 2022</w:t>
      </w:r>
    </w:p>
    <w:p>
      <w:r>
        <w:t>Bundesverwaltungsgericht, 2022-07-25, DE</w:t>
      </w:r>
    </w:p>
    <w:p>
      <w:r>
        <w:rPr>
          <w:b/>
        </w:rPr>
        <w:t xml:space="preserve">Quelle: </w:t>
      </w:r>
      <w:r>
        <w:t>https://mcp.opencaselaw.ch/entscheid/bvger_B-622_2021</w:t>
      </w:r>
    </w:p>
    <w:p>
      <w:r>
        <w:t>FR: TAF B-622/2021 du 25 juillet 2022</w:t>
      </w:r>
    </w:p>
    <w:p>
      <w:r>
        <w:t>IT: TAF B-622/2021 del 25 luglio 2022</w:t>
      </w:r>
    </w:p>
    <w:p>
      <w:pPr>
        <w:pStyle w:val="Heading2"/>
      </w:pPr>
      <w:r>
        <w:t>Regeste</w:t>
      </w:r>
    </w:p>
    <w:p>
      <w:r>
        <w:t>Widerspruchssachen</w:t>
      </w:r>
    </w:p>
    <w:p>
      <w:pPr>
        <w:pStyle w:val="Heading2"/>
      </w:pPr>
      <w:r>
        <w:t>Erwägungen</w:t>
      </w:r>
    </w:p>
    <w:p>
      <w:r>
        <w:rPr>
          <w:b/>
        </w:rPr>
        <w:t>E. 1</w:t>
      </w:r>
    </w:p>
    <w:p>
      <w:r>
        <w:t>Das Bundesverwaltungsgericht prüft von Amtes wegen und mit freier Kognition, ob die Prozessvoraussetzungen erfüllt sind und auf eine Beschwerde einzutreten ist (Art. 7 VwVG). Die vorliegende Beschwerde richtet sich gegen eine Zwischenverfügung der Vorinstanz betreffend die Sistierung eines Widerspruchsverfahrens. Das Bundesverwaltungsgericht ist zur Beurteilung von Beschwerden gegen Entscheide der Vorinstanz in Widerspruchssachen zuständig (Art. 31, 32 und 33 Bst. e VGG).</w:t>
      </w:r>
    </w:p>
    <w:p>
      <w:r>
        <w:rPr>
          <w:b/>
        </w:rPr>
        <w:t>E. 2</w:t>
      </w:r>
    </w:p>
    <w:p>
      <w:r>
        <w:t>Als beschwerdefähig im Sinne von Art. 5 VwVG gelten auch selbständig eröffnete Zwischenverfügungen (Art. 5 Abs. 2 VwVG), doch ist, ausser bei Fragen der Zuständigkeit und des Ausstands (Art. 45 Abs. 1 VwVG), eine Beschwerde gegen sie nur zulässig, wenn ein nicht wieder gutzumachender Nachteil droht (Art. 46 Abs. 1 Bst a VwVG) oder die Gutheissung sofort einen Endentscheid herbeiführen und damit einen bedeutenden Aufwand an Zeit oder Kosten für ein weitläufiges Beweisverfahren ersparen würde (Art. 46 Abs. 1 Bst. b VwVG).</w:t>
      </w:r>
    </w:p>
    <w:p>
      <w:r>
        <w:rPr>
          <w:b/>
        </w:rPr>
        <w:t>E. 2.1</w:t>
      </w:r>
    </w:p>
    <w:p>
      <w:r>
        <w:t>Das Erfordernis des nicht wieder gutzumachenden Nachteils beschreibt die Voraussetzung des schutzwürdigen Interesses an der sofortigen Aufhebung oder Änderung der angefochtenen Zwischenverfügung (vgl. auch Art. 48 Abs. 1 Bst. c VwVG). Im Verfahren vor Bundesverwaltungsgericht muss der nicht wieder gutzumachende Nachteil nicht rechtlicher Natur sein, sondern es genügt jede Beeinträchtigung schutzwürdiger tatsächlicher, auch wirtschaftlicher Interessen, sofern der Betroffene nicht nur versucht, eine Verlängerung oder Verteuerung des Verfahrens zu verhindern (vgl. Urteil des BGer 2C_86/2008 vom 23. April 2008 E. 3.2; BGE 130 II 149 E. 1.1; Urteile des BVGer A-4099/2014 vom 28. August 2014 E. 2.1; A-2082/2014 vom 9. Juli 2014 E. 2.1 und A-1081/2014 vom 23. April 2014 E. 1.3, je m.w.H.).</w:t>
      </w:r>
    </w:p>
    <w:p>
      <w:r>
        <w:rPr>
          <w:b/>
        </w:rPr>
        <w:t>E. 2.2</w:t>
      </w:r>
    </w:p>
    <w:p>
      <w:r>
        <w:t>Die Vorinstanz kann ein Widerspruchsverfahren aussetzen, wenn ihr Entscheid unmittelbar präjudiziell vom Ausgang eines hängigen Verfahrens auf Löschung wegen Nichtgebrauchs, eines zivilen Nichtigkeitsverfahrens oder anderen behördlichen Verfahrens abhängt (Art. 23 Abs. 4 MSchV [Markenschutzverordnung, SR 232.111]). Eine Verfahrenssistierung bewirkt nicht immer einen nicht wieder gutzumachenden Nachteil (vgl. Moser/Beusch/Kneubühler, Prozessieren vor dem Bundesverwaltungsgericht, 2. Aufl. 2013, Rz. 2.48). Verzögert sie das Verfahren nur, besteht der Nachteil gutzumachend und kann durch einen günstigen Endentscheid vollständig behoben werden (BGE 131 V 362 E. 3.2; Kayser/Papadopoulos/Altmann, in: Auer/Müller/ Schindler [Hrsg.], Kommentar VwVG, 2. Aufl. 2019, Art. 46 Rz. 13). Macht die beschwerdeführende Partei, die den Sistierungsentscheid anficht, jedoch mit hinreichender Begründung die Verletzung des Beschleunigungsgebots (Art. 29 Abs. 1 BV) geltend, wird die Voraussetzung des nicht wieder gutzumachenden Nachteils praxisgemäss als gegeben erachtet, insbesondere, wenn die Partei die Dauer der Sistierung nicht beeinflussen kann (Urteile des BVGer B-4949/2019 vom 1. Februar 2021 E. 4.2; A-1451/2015 vom 7. Juli 2015 E. 1.2.3; A-4984/2014 vom 10. November 2014 E. 1.2.2; vgl. ferner zu Art. 93 BGG: BGE 138 III 190 E. 6, 134 IV 43 E. 2.3; Urteile des BGer 8C_479/2015 vom 18. Dezember 2015 E. 2.4; 2C_1082/2015 vom 4. Dezember 2015 E. 3.2; 9C_523/ 2015 vom 10. November 2015 E. 2.2; Kayser/Papadopoulos/Altmann, a.a.O., Art. 46 Rz. 12).</w:t>
      </w:r>
    </w:p>
    <w:p>
      <w:r>
        <w:rPr>
          <w:b/>
        </w:rPr>
        <w:t>E. 2.3</w:t>
      </w:r>
    </w:p>
    <w:p>
      <w:r>
        <w:t>Die Beschwerdeführerin verlangt mit ihrer Beschwerde, das Widerspruchsverfahren für einen Teil der eingetragenen Waren und Dienstleistungen der Widerspruchsmarke sistiert zu belassen und für einen anderen Teil weiterzuführen. Ihr Antrag liesse die Vorinstanz die Frage der zwischen den Marken bestehenden Verwechslungsgefahr nach Art. 31 i.V.m. Art. 3 MSchG [Markenschutzgesetz, SR 232.11]) in einem Zwischenentscheid gestützt auf die unbestrittenen Waren in Klasse 9 und später im Endentscheid für alle (noch) eingetragenen Waren der Widerspruchsmarke erneut prüfen. In diesem Vorgehen kann kein Verfahrensgewinn im Sinne des Beschleunigungsgebots erkannt werden. Die wiederholte Beurteilung als Mehraufwand für die Vorinstanz, die auch bei einer Spaltung in getrennte Verfahren erforderlich wäre, liefe dem Beschleunigungsgebot vielmehr zuwider, weshalb das Interesse der Beschwerdeführerin sich im Zeitgewinn des Zwischenentscheids erschöpft. Ein nicht wiedergutzumachender Nachteil der Beschwerdeführerin ist mithin zu verneinen. Schliesslich würde es auch nicht sofort einen Endentscheid herbeiführen, die Beschwerde gutzuheissen (Art. 46 Abs. 1 Bst. b VwVG). Auf die Beschwerde ist nicht einzutreten.</w:t>
      </w:r>
    </w:p>
    <w:p>
      <w:r>
        <w:rPr>
          <w:b/>
        </w:rPr>
        <w:t>E. 3.1</w:t>
      </w:r>
    </w:p>
    <w:p>
      <w:r>
        <w:t>Bei diesem Ausgang des Verfahrens wird die Beschwerdeführerin kosten- und entschädigungspflichtig (Art. 63 Abs. 1 VwVG; Art. 64 Abs. 1 VwVG).</w:t>
      </w:r>
    </w:p>
    <w:p>
      <w:r>
        <w:rPr>
          <w:b/>
        </w:rPr>
        <w:t>E. 3.2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quantifizieren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3'500.- festzulegen, die dem geleisteten Kostenvorschuss von Fr. 2'200.- zu entnehmen und im Mehrbetrag der Beschwerdeführerin aufzuerlegen sind.</w:t>
      </w:r>
    </w:p>
    <w:p>
      <w:r>
        <w:rPr>
          <w:b/>
        </w:rPr>
        <w:t>E. 3.3</w:t>
      </w:r>
    </w:p>
    <w:p>
      <w:r>
        <w:t>Der obsiegenden Partei ist eine Entschädigung für die ihr erwachsenen notwendigen Kosten zuzusprechen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Die eingereichte Kostennote der Beschwerdegegnerin von Fr. 8'287.- erscheint übersetzt und ist anhand des aktenkundigen Aufwands bei einfachem Schriftenwechsel und der Teilnahme an der Parteiverhandlung auf eine Parteientschädigung von Fr. 4'500.- angemessen zu reduzieren. Der Vorinstanz als Bundesbehörde ist keine Parteientschädigung auszurichten (Art. 7 Abs. 3 VGKE).</w:t>
      </w:r>
    </w:p>
    <w:p>
      <w:r>
        <w:rPr>
          <w:b/>
        </w:rPr>
        <w:t>E. 4</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