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B-6158/2024 vom 10. Juni 2025</w:t>
      </w:r>
    </w:p>
    <w:p>
      <w:r>
        <w:t>Bundesverwaltungsgericht, 2025-06-10, DE</w:t>
      </w:r>
    </w:p>
    <w:p>
      <w:r>
        <w:rPr>
          <w:b/>
        </w:rPr>
        <w:t xml:space="preserve">Quelle: </w:t>
      </w:r>
      <w:r>
        <w:t>https://mcp.opencaselaw.ch/entscheid/bvger_B-6158_2024</w:t>
      </w:r>
    </w:p>
    <w:p>
      <w:r>
        <w:t>FR: TAF B-6158/2024 du 10 juin 2025</w:t>
      </w:r>
    </w:p>
    <w:p>
      <w:r>
        <w:t>IT: TAF B-6158/2024 del 10 giugno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Das SECO ist eine Vorinstanz gemäss Art. 33 Bst. d des Bundesgesetzes vom 17. Juni 2005 über das Bundesverwaltungsgericht (VGG, SR 173.32). Vorliegend ist auch keine Ausnahme der Zuständigkeit nach Art. 32 VGG auszumachen, weshalb das Bundesverwaltungsgericht für die Beurteilung der vorliegenden Beschwerde zuständig ist.</w:t>
      </w:r>
    </w:p>
    <w:p>
      <w:r>
        <w:rPr>
          <w:b/>
        </w:rPr>
        <w:t>E. 1.3</w:t>
      </w:r>
    </w:p>
    <w:p>
      <w:r>
        <w:t>Gemäss Art. 31 VGG prüft das Gericht Beschwerden gegen Verfügungen nach Art. 5 des Bundesgesetzes vom 20. Dezember 1968 über das Verwaltungsverfahren (VwVG, SR 172.021). Im Folgenden ist somit zu prüfen, ob im vorliegenden Fall ein diesen Bestimmungen entsprechendes, taugliches Anfechtungsobjekt vorliegt.</w:t>
      </w:r>
    </w:p>
    <w:p>
      <w:r>
        <w:rPr>
          <w:b/>
        </w:rPr>
        <w:t>E. 2</w:t>
      </w:r>
    </w:p>
    <w:p>
      <w:r>
        <w:t>Für die gemäss Ziff. 1 des Dispositivs vorsorglich gesperrten Geschäftsbeziehungen ist innert 5 Arbeitstagen nach Erhalt dieser Zwischenverfügung eine Saldomeldung per Sperrdatum einzureichen.</w:t>
      </w:r>
    </w:p>
    <w:p>
      <w:r>
        <w:rPr>
          <w:b/>
        </w:rPr>
        <w:t>E. 2.1</w:t>
      </w:r>
    </w:p>
    <w:p>
      <w:r>
        <w:t>Die Vorinstanz gelangte mit Datum vom 28. Juni 2024 mit einem als «Zwischenverfügung» betitelten Schreiben mit folgendem Dispositiv (in Klammern Ergänzungen des Gerichts) an das Finanzinstitut: 1. Folgende Geschäftsbeziehungen bzw. Konten bei (Finanzinstitut) werden vorsorglich gesperrt: (Auflistung Geschäftsbeziehungen).</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(Häfelin/ Müller/ Uhlmann, Allgemeines Verwaltungsrecht, 8. Aufl. 2020, N 855 ff.; Uhlmann/ Kradolfer, in: Waldmann/Krauskopf [Hrsg.], Praxiskommentar Verwaltungsverfahrensgesetz, 3. Aufl. 2023, Art. 5 N 23).</w:t>
      </w:r>
    </w:p>
    <w:p>
      <w:r>
        <w:rPr>
          <w:b/>
        </w:rPr>
        <w:t>E. 2.4</w:t>
      </w:r>
    </w:p>
    <w:p>
      <w:r>
        <w:t>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2.2 f. hiervor) aufweist (BVGE 2009/43 E. 1.1.4; Urteil des BVGer B-198/2014 vom 5. November 2014 E. 2.3.2). Entweder ist ein staatlicher Akt eine Verfügung oder er ist es nicht (Markus Müller, in: Auer et al. [Hrsg.], Bundesgesetz über das Verwaltungsverfahren [VwVG], Kommentar,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Ein Beitrag zur Geschichte des schweizerischen Verwaltungsrechts, 2013, S. 77). Allfällige Formmängel - soweit nicht geradezu von einer nichtigen Verfügung auszugehen ist - sind nach Art. 38 VwVG zu würdigen, ändern aber nichts am Verfügungscharakter (Urteil des BVGer F-3226/2021 vom 11. Juli 2023 E. 1.2.4; Häfelin/Müller/Uhlmann, a.a.O., N 871 f.; Uhlmann/Kradolfer, in: Praxiskommentar VwVG, a.a.O., Art. 5 N 143).</w:t>
      </w:r>
    </w:p>
    <w:p>
      <w:r>
        <w:rPr>
          <w:b/>
        </w:rPr>
        <w:t>E. 2.5</w:t>
      </w:r>
    </w:p>
    <w:p>
      <w:r>
        <w:t>Art. 1 Abs. 1 des Bundesgesetzes vom 22. März 2002 über die Durchsetzung von internationalen Sanktionen (Embargogesetz, EmbG, SR 946.231)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ergriffen werden können. Zu diesen gehören unmittelbare oder mittelbare Beschränkungen des Waren-, Dienstleistungs-, Zahlungs-, Kapital- und Personenverkehrs sowie des wissenschaftlichen, technologischen und kulturellen Austauschs (Bst. a). Zwangsmassnahmen können zudem Verbote, Bewilligungs- und Meldepflichten sowie andere Einschränkungen von Rechten umfassen (Bst. b) (vgl. auch Urteile des BVGer B-3925/2023 vom 29. Juli 2024 E. 6.1; B-2845/2023 vom 9. Dezember 2024 E. 2.3 m.w.H.). Sanktionsrechtliche Zwangsmassnahmen werden in Form von Verordnungen erlassen (Art. 2 Abs. 3 EmbG).</w:t>
      </w:r>
    </w:p>
    <w:p>
      <w:r>
        <w:rPr>
          <w:b/>
        </w:rPr>
        <w:t>E. 2.6.1</w:t>
      </w:r>
    </w:p>
    <w:p>
      <w:r>
        <w:t>Gestützt auf Art. 184 Abs. 3 BV in Verbindung mit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w:t>
      </w:r>
    </w:p>
    <w:p>
      <w:r>
        <w:rPr>
          <w:b/>
        </w:rPr>
        <w:t>E. 2.6.2</w:t>
      </w:r>
    </w:p>
    <w:p>
      <w:r>
        <w:t>Dem SECO kommt gemäss Art. 31 Abs. 1 Ukraine-Verordnung die Aufgabe zu, den Vollzug bestimmter Artikel der Ukraine-Verordnung zu überwachen, mitunter den Vollzug der Art. 15 und 16 Ukraine-Verordnung.</w:t>
      </w:r>
    </w:p>
    <w:p>
      <w:r>
        <w:rPr>
          <w:b/>
        </w:rPr>
        <w:t>E. 2.6.3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2.6.4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Urteile des BVGer B-3925/2023 vom 29. Juli 2024 E. 6.4; B-2845/2023 vom 9. Dezember 2024 E. 2.2;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2.6.5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Ukraine-Verordnung). Diese Liste wird im Zuge der Anpassung der Sanktionsmassnahmen durch das zuständige Departement fortlaufend aktualisiert (Art. 16 EmbG). Der Anhang 8 wird in der AS und in der SR durch Verweis veröffentlicht (Art. 33 Ukraine-Verordnung); abrufbar ist er zudem auf der Internetseite der Vorinstanz.</w:t>
      </w:r>
    </w:p>
    <w:p>
      <w:r>
        <w:rPr>
          <w:b/>
        </w:rPr>
        <w:t>E. 2.6.6</w:t>
      </w:r>
    </w:p>
    <w:p>
      <w:r>
        <w:t>Gemäss Art. 16 Abs. 1 Ukraine-Verordnung sind Personen und Institutionen, die Gelder halten oder verwalten, oder von wirtschaftlichen Ressourcen wissen, von denen anzunehmen ist, dass sie unter die Sperrung nach Art. 15 Abs. 1 fallen, verpflichtet, diese dem SECO zu melden.</w:t>
      </w:r>
    </w:p>
    <w:p>
      <w:r>
        <w:rPr>
          <w:b/>
        </w:rPr>
        <w:t>E. 2.6.7</w:t>
      </w:r>
    </w:p>
    <w:p>
      <w:r>
        <w:t>Nach Art. 32 Abs. 1 Ukraine Verordnung wird, wer gegen die Artikel 2a, 4-6, 9-15, 17-20 und 22-30 verstösst, nach Artikel 9 EmbG bestraft. Art. 9 EmbG sieht vor, dass wer vorsätzlich gegen Vorschriften von Verordnungen nach Artikel 2 Absatz 3 verstösst, deren Verletzung für strafbar erklärt wird, mit Freiheitsstrafe bis zu einem Jahr oder Geldstrafe bestraft wird (Abs. 1). In schweren Fällen ist die Strafe Freiheitsstrafe bis zu fünf Jahren oder Geldstrafe (Abs. 2). Wird die Tat fahrlässig begangen, so ist die Strafe Busse bis zu 100 000 Franken (Abs.3). 3.</w:t>
      </w:r>
    </w:p>
    <w:p>
      <w:r>
        <w:rPr>
          <w:b/>
        </w:rPr>
        <w:t>E. 3</w:t>
      </w:r>
    </w:p>
    <w:p>
      <w:r>
        <w:t>Einer Beschwerde gegen diese Zwischenverfügung wird die aufschiebende Wirkung entzogen.</w:t>
      </w:r>
    </w:p>
    <w:p>
      <w:r>
        <w:rPr>
          <w:b/>
        </w:rPr>
        <w:t>E. 3.1</w:t>
      </w:r>
    </w:p>
    <w:p>
      <w:r>
        <w:t>Im vorliegenden Fall wurden die Personen C._______ und D._______ vom Bundesrat im Rahmen der Sanktionsmassnahmen am (Datum) mit Ergänzung am (Datum) bzw. am (Datum) mit Ergänzung am (Datum) in den Anhang 8 aufgenommen. Damit wurden alle wirtschaftlichen Ressourcen dieser beiden Personen - sowohl die direkt kontrollierten als auch die indirekt kontrollierten - von Gesetzes wegen gesperrt, wie dies Art. 15 Abs. 1 der Ukraine-Verordnung vorsieht. Die im Zusammenhang mit dieser Sperrung stehenden Rechte und Pflichten werden somit bereits ex lege geregelt. Insoweit besteht für eine Regelung bzw. eine Verfügung im Sinne von Art. 5 VwVG durch die Vorinstanz kein Raum mehr.</w:t>
      </w:r>
    </w:p>
    <w:p>
      <w:r>
        <w:rPr>
          <w:b/>
        </w:rPr>
        <w:t>E. 3.2</w:t>
      </w:r>
    </w:p>
    <w:p>
      <w:r>
        <w:t>Es sind im Übrigen auch keine Bestimmungen ersichtlich, welche der Vorinstanz die Kompetenz einräumen würde, gestützt auf die Ukraine-Verordnung Konten zu sperren. Zwar ist die Vorinstanz grundsätzlich zum Erlass vorsorglicher Massnahmen nach Art. 56 VwVG berechtigt (zum Ganzen: BGE 139 IV 314 E. 2.3.3; 127 II 132 E. 3; Cavelti, in: Auer et al., VwVG-Kommentar, a.a.O., Art. 22a Rz. 16; Benjamin Märkli, Die aufschiebende Wirkung im öffentlichen Recht des Bundes und der Kantone, Diss. 2022, Rz. 237). Es ist hierbei allerdings darauf hinzuweisen, dass aufgrund ihres akzessorischen Charakters eine vorsorgliche Massnahme nicht über den im Hauptverfahren zu untersuchenden Streitgegenstand hinausgehen kann (Kiener, in: Auer et. al., a.a.O., Art. 56 Rz. 8). Da, wie erläutert, die Vorinstanz keine Kompetenz innehat, in einem Hauptverfahren eine Vermögenssperre zu erlassen, ist ihr dies folglich auch nicht auf dem Wege einer vorsorglichen Massnahme möglich.</w:t>
      </w:r>
    </w:p>
    <w:p>
      <w:r>
        <w:rPr>
          <w:b/>
        </w:rPr>
        <w:t>E. 3.3</w:t>
      </w:r>
    </w:p>
    <w:p>
      <w:r>
        <w:t>Eine Sperrung von Vermögenswerten durch die Vorinstanz ist denn im vorliegenden Fall auch nicht erforderlich, denn Finanzinstitute, welche direkt oder indirekt kontrollierte wirtschaftliche Ressourcen sanktionierter Personen halten, sind nach Art. 1 Bst. b i.V.m. Art. 15 Abs. 1 Ukraine-Verordnung unter der Strafandrohung von Art. 32 Ukraine-Verordnung verpflichtet, jede Handlung, welche die Verwaltung oder die Nutzung der Gelder ermöglicht, zu verhindern. Die Ziffer 1 und deren Begründung aus dem Schreiben der Vorinstanz vom 28. Juni 2024 entspricht der Sache nach daher vielmehr dem Charakter eines aufsichtsrechtlichen Hinweises. Zudem wird generell für die Ausübung der Bankentätigkeit die dauernde Gewähr für einwandfreie Geschäftstätigkeit vorausgesetzt (Art. 3 Abs. 2 Bst. c, Art. 23quinquies des Bundesgesetzes vom 8. November 1934 über die Banken und Sparkassen [Bankengesetz, BankG, RS 952.0]). Eine einwandfreie Geschäftstätigkeit gebietet, dass die Bank keine rechts- und sittenwidrigen Geschäfte tätigt (siehe etwa BGE 111 Ib 126 E. 2a mit weiteren Hinweisen), wodurch die Notwendigkeit, der Vorinstanz diesbezüglich Handlungskompetenzen einzuräumen, weiter verringert wird.</w:t>
      </w:r>
    </w:p>
    <w:p>
      <w:r>
        <w:rPr>
          <w:b/>
        </w:rPr>
        <w:t>E. 3.4</w:t>
      </w:r>
    </w:p>
    <w:p>
      <w:r>
        <w:t>Dispositiv Ziffer 1 des Schreibens der Vorinstanz vom 28. Juni 2024 enthält somit keine auf Rechtswirkung gerichtete Anordnung, sondern höchstens einen Hinweis an das Finanzinstitut auf dessen allenfalls sich aus der Ukraine-Verordnung oder der Bankgesetzgebung ergebenden Pflichten.</w:t>
      </w:r>
    </w:p>
    <w:p>
      <w:r>
        <w:rPr>
          <w:b/>
        </w:rPr>
        <w:t>E. 3.5</w:t>
      </w:r>
    </w:p>
    <w:p>
      <w:r>
        <w:t>Damit fehlt der Dispositivziffer 1 der Verfügungscharakter, weshalb sie kein taugliches Anfechtungsobjekt im Sinne von Art. 31 VGG darstellt. Auf die Beschwerde ist, soweit sie sich auf die Dispositivziffer 1 bezieht, daher nicht einzutreten. Dass die Vorinstanz ihren Hinweis an das Finanzinstitut nicht auch der Beschwerdeführerin zukommen liess, ist unter diesen Umständen nicht zu beanstanden. 4.</w:t>
      </w:r>
    </w:p>
    <w:p>
      <w:r>
        <w:rPr>
          <w:b/>
        </w:rPr>
        <w:t>E. 4</w:t>
      </w:r>
    </w:p>
    <w:p>
      <w:r>
        <w:t>Über die Verfahrenskosten wird in der Schlussverfügung entschieden.</w:t>
      </w:r>
    </w:p>
    <w:p>
      <w:r>
        <w:rPr>
          <w:b/>
        </w:rPr>
        <w:t>E. 4.1</w:t>
      </w:r>
    </w:p>
    <w:p>
      <w:r>
        <w:t>Anders verhält es sich bezüglich Dispositivziffer 2, mit der das Finanzinstitut angewiesen wird, der Vorinstanz eine Saldomeldung über die genannten Geschäftsbeziehungen zu übermitteln.</w:t>
      </w:r>
    </w:p>
    <w:p>
      <w:r>
        <w:rPr>
          <w:b/>
        </w:rPr>
        <w:t>E. 4.2</w:t>
      </w:r>
    </w:p>
    <w:p>
      <w:r>
        <w:t>Gemäss Art. 3 EmbG muss, wer von Massnahmen nach dem EmbG unmittelbar oder mittelbar betroffen ist, den vom Bundesrat bezeichneten Kontrollorganen die Auskünfte erteilen und die Unterlagen einreichen, die für eine umfassende Beurteilung oder Kontrolle erforderlich sind. Der Vollzug und Kontrolle im Bereich Meldungen nach der Ukraine Verordnung obliegen der Vorinstanz (Art. 31 Abs. 1 Ukraine Verordnung). In Bezug auf die verlangten Saldomeldungen liegt somit eine gesetzliche Grundlage vor, die es der Vorinstanz erlaubt, eine entsprechende anfechtbare Verfügung im Sinne von Art. 5 VwVG zu erlassen.</w:t>
      </w:r>
    </w:p>
    <w:p>
      <w:r>
        <w:rPr>
          <w:b/>
        </w:rPr>
        <w:t>E. 4.3</w:t>
      </w:r>
    </w:p>
    <w:p>
      <w:r>
        <w:t>Kaum in Frage zu stellen dürfte auch sein, dass Ziffer 2 nicht nur dem Finanzinstitut, sondern auch den Kontoinhabern hätte eröffnet werden müssen. Im vorliegenden Fall liegt somit eine teilweise Nichteröffnung vor, was dazu führt, dass die Rechtsmittelfrist für die Beschwerdeführerin grundsätzlich erst mit der ordentlichen Eröffnung (Uhlmann/Schilling-Schwank in: Waldmann/Krauskopf, a.a.O., Art. 38 N. 10 m.w.H.) bzw. ab Kenntnis des Verfügungsinhalts zu laufen beginnt (Urteil des BGer 2C_657/2014 vom 12. November 2014 E. 2.4.2 sowie Urteile des BVGer B-394/2025 vom 16. April 2025 E. 4.3 und B-406/2025 vom 16. April 2025 E. 4.3). Mit ihrer Eingabe ans Bundesverwaltungsgericht vom 26. September 2024 wahrte die Beschwerdeführerin somit die Beschwerdefrist gegen die Verfügung vom 28. Juni 2024, die für sie erst zu laufen begann, nachdem die Vorinstanz ihr diese am 27. August 2024 zustellte.</w:t>
      </w:r>
    </w:p>
    <w:p>
      <w:r>
        <w:rPr>
          <w:b/>
        </w:rPr>
        <w:t>E. 4.4</w:t>
      </w:r>
    </w:p>
    <w:p>
      <w:r>
        <w:t>In Bezug auf Dispositivziffer 2 bildet die Verfügung vom 28. Juni 2024 der Vorinstanz somit ein taugliches Anfechtungsobjekt. Diesbezüglich kann die Beschwerde auf die Eintretensvoraussetzungen, soweit nicht bereits in Erwägung 1 geschehen, sowie auf die materiellen Vorbringen geprüft werden.</w:t>
      </w:r>
    </w:p>
    <w:p>
      <w:r>
        <w:rPr>
          <w:b/>
        </w:rPr>
        <w:t>E. 5</w:t>
      </w:r>
    </w:p>
    <w:p>
      <w:r>
        <w:t>Diese Verfügung wird eröffnet an: (Finanzinstitut). Die Vorinstanz begründet ihre «Zwischenverfügung» unter anderem damit, dass sie im Rahmen der Verordnung vom 4. März 2022 über Massnahmen im Zusammenhang mit der Situation in der Ukraine (Ukraine-Verordnung, SR 946.231.176.72) zuständig für die Umsetzung der getroffenen Massnahmen sei. Sie verfüge über Indizien, welche glaubhaft machten, dass die vorliegend strittigen Vermögenswerte unter indirekter Kontrolle einer in Anhang 8 gelisteten Person stünden. Entsprechend habe sie eine vorsorgliche Massnahme ergriffen, um die Wirksamkeit einer späteren Verfügung sicherzustellen.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Als Nichtadressatin der Verfügung konnte die Beschwerdeführerin am vorinstanzlichen Verfahren nicht teilnehmen. Durch die Mitteilung der Kontosaldi an die Vorinstanz ist sie besonders berührt. Die Beschwerdeberechtigung nach Art. 48 Abs. 1 VwVG ist somit gegeben.</w:t>
      </w:r>
    </w:p>
    <w:p>
      <w:r>
        <w:rPr>
          <w:b/>
        </w:rPr>
        <w:t>E. 5.3</w:t>
      </w:r>
    </w:p>
    <w:p>
      <w:r>
        <w:t>Die Beschwerde wurde form- und fristgerecht (vgl. E. 4.3 oben) eingereicht, auf die Beschwerde ist in Bezug auf Dispositivziffer 2 der angefochtenen Verfügung einzutreten.</w:t>
      </w:r>
    </w:p>
    <w:p>
      <w:r>
        <w:rPr>
          <w:b/>
        </w:rPr>
        <w:t>E. 6</w:t>
      </w:r>
    </w:p>
    <w:p>
      <w:r>
        <w:t>Die Beschwerdeführerin macht in ihrem Rechtsbegehren Ziffer 1 geltend, dass die gesamte Verfügung der Vorinstanz, mithin auch Dispositivziffer 2, aufzuheben sei. Indes findet sich in den Beschwerdeunterlagen keine Begründung zur Frage, aus welchem Grund die Dispositivziffer 2 aufgehoben oder geändert werden sollte. Die Beschwerde ist damit soweit Dispositivziffer 2 betreffend nicht substantiiert (vgl. zur Substantiierungspflicht etwa Urteil des BVGer B-6641/2019 vom 25. August 2020 E. 3.6 m.w.H. sowie Seethaler/Portmann in: Waldmann/Krauskopf, a.a.O., Art. 52 N. 62ff m.w.H.) Da sich weder in den dem Gericht vorliegenden Akten noch sonst Hinweise finden, die auf eine Rechtswidrigkeit der Ziffer 2 hindeuten, ist die Beschwerde soweit Ziffer 2 betreffend abzuweisen.</w:t>
      </w:r>
    </w:p>
    <w:p>
      <w:r>
        <w:rPr>
          <w:b/>
        </w:rPr>
        <w:t>E. 7</w:t>
      </w:r>
    </w:p>
    <w:p>
      <w:r>
        <w:t>Auf die Befragung von E._______ und G._______ kann unter diesen Umständen im Rahmen einer antizipierten Beweiswürdigung (vgl. BGE 141 I 60 E. 3.3. sowie BVGE 2018 IV/5 E. 11.1) verzichtet werden. Eine Vereinigung mit anderen sich ebenfalls gegen die Verfügung vom 28. Juni 2024 richtenden Beschwerden (Art. 4 VwVG i.V.m. Art. 24 Abs. 2 Bundesgesetz vom 4. Dezember 1947 über den Bundeszivilprozess [BZP, SR 273]; Moser/Beusch/Kneubühler/Kayser, Prozessieren vor dem Bundesverwaltungsgericht, 3. Aufl. 2022 Rz. 3.17) drängt sich nicht auf. Dem diesbezüglichen Antrag der Vorinstanz ist daher nicht statt zu geben.</w:t>
      </w:r>
    </w:p>
    <w:p>
      <w:r>
        <w:rPr>
          <w:b/>
        </w:rPr>
        <w:t>E. 8.1</w:t>
      </w:r>
    </w:p>
    <w:p>
      <w:r>
        <w:t>Rein formell betrachtet richtet sich der Schriftsatz der Beschwerdeführerin vom 26. September 2024 gegen das Schreiben «Zwischenverfügung betreffend vorsorgliche Massnahmen» der Vorinstanz vom 28. Juni 2024, wird doch in den Rechtsbegehren ausdrücklich deren Aufhebung verlangt. Inhaltlich betrachtet wird jedoch ersichtlich, dass die Beschwerdeführerin damit zumindest sinngemäss um eine vollständige Freigabe ihrer in Ziffer 1 erwähnten Bankbeziehung bzw. eine entsprechende Anordnung an das Finanzinstitut ersucht.</w:t>
      </w:r>
    </w:p>
    <w:p>
      <w:r>
        <w:rPr>
          <w:b/>
        </w:rPr>
        <w:t>E. 8.2</w:t>
      </w:r>
    </w:p>
    <w:p>
      <w:r>
        <w:t>Es dürften kaum Zweifel daran bestehen, dass auch die hier im Raum stehenden auf die Ukraine-Verordnung und das EmbG gestützten Zwangsmassnahmen - ebenso wie ein eigentliches Listing (siehe dazu BGE 139 II 384 E. 2.3) - Art. 6 Abs. 1 EMRK tangiert. Gestützt darauf sowie auch auf die in Art. 29a BV verankerte Rechtsweggarantie (vgl. hierzu Andrea Marco Steingruber, Bundesgesetz über die Durchsetzung von internationalen Sanktionen [Embargogesetz, EmbG], Kurzkommentar, 2023, Art. 2 N 15ff.), die jeder Person bei Rechtsstreitigkeiten grundsätzlich Anspruch auf Beurteilung durch eine richterliche Behörde einräumt, muss es somit auch im vorliegenden Fall möglich sein, deren Rechtmässigkeit einer richterlichen Beurteilung zuzuführen. Dies ist im vorliegenden Verfahren, wie vorangehend erwähnt, mangels Anfechtungsobjekt nicht ohne weiteres möglich. Die Eingabe der Beschwerdeführerin ist daher als sinngemäss gestelltes Gesuch um vollständige Freigabe der zur Diskussion stehenden Bankbeziehung bzw. um eine entsprechende Anordnung an das Finanzinstitut zu betrachten. Anders als in BGE 139 II 384 E. 2.3. ist die Sache vorliegend jedoch nicht direkt durch das Bundesverwaltungsgericht zu beurteilen, sondern gestützt auf Art. 8 Abs. 1 VwVG an die gemäss Art. 31 Abs. 1 Ukraine-Verordnung zwar nicht für die Vornahme von Sperrungen, insbesondere aber für den Vollzug von Art. 15 Ukraine-Verordnung zuständige Vorinstanz zu überweisen.</w:t>
      </w:r>
    </w:p>
    <w:p>
      <w:r>
        <w:rPr>
          <w:b/>
        </w:rPr>
        <w:t>E. 8.3</w:t>
      </w:r>
    </w:p>
    <w:p>
      <w:r>
        <w:t>Eine direkte Beurteilung durch das Bundesverwaltungsgericht drängt sich hier trotz recht ausführlichem Schriftenwechsel nicht auf. Im an die Hand zu nehmenden Verfahren dürften an das notwenige Beweismass höhere Anforderungen gestellt werden als im von der Vorinstanz als vorsorgliche Massnahme geführten, bisherigen Verfahren (zum Beweismass bei der Überprüfung von Zwangsmassnahmen nach EmbG vgl. Urteil des BVGer B-3925/2023 vom 29. Juli 2024 E. 5). Anders als in BGE 139 II 384 E. 3.2 ist daher nicht davon auszugehen, dass bereits alle diesen Anforderungen entsprechenden Argumente und Beweise vorgebracht wurden und daher die Überweisung kein «détour procédural inutile» darstellt.</w:t>
      </w:r>
    </w:p>
    <w:p>
      <w:r>
        <w:rPr>
          <w:b/>
        </w:rPr>
        <w:t>E. 9</w:t>
      </w:r>
    </w:p>
    <w:p>
      <w:r>
        <w:t>Bei diesem Verfahrensausgang gilt die Beschwerdeführerin als unterliegende Partei und hat die Verfahrenskosten zu tragen (Art. 63 Abs. 1 VwVG). Gemäss Art. 63 Abs. 4 bis VwVG in Verbindung mit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Unter Berücksichtigung des Aufwands und der Schwierigkeit der sich hier stellenden Sach- und Rechtsfragen rechtfertigt es sich, die Verfahrenskosten mit Blick auf die Verfahrenserledigung und dem damit verbundenen reduzierten Aufwand des Bundesverwaltungsgerichts unter Anwendung von Art. 6 Bst. b VGKE auf Fr. 30'000.- festzusetzen. Eine Parteientschädigung ist nicht geschuldet (Art. 64 Abs. 1 VwVG i.V.m.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