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B-6123/2011 vom 21. Oktober 2011</w:t>
      </w:r>
    </w:p>
    <w:p>
      <w:r>
        <w:t>Bundesverwaltungsgericht, 2011-10-21, DE</w:t>
      </w:r>
    </w:p>
    <w:p>
      <w:r>
        <w:rPr>
          <w:b/>
        </w:rPr>
        <w:t xml:space="preserve">Quelle: </w:t>
      </w:r>
      <w:r>
        <w:t>https://mcp.opencaselaw.ch/entscheid/bvger_B-6123_2011</w:t>
      </w:r>
    </w:p>
    <w:p>
      <w:r>
        <w:t>FR: TAF B-6123/2011 du 21 octobre 2011</w:t>
      </w:r>
    </w:p>
    <w:p>
      <w:r>
        <w:t>IT: TAF B-6123/2011 del 21 ottobre 2011</w:t>
      </w:r>
    </w:p>
    <w:p>
      <w:pPr>
        <w:pStyle w:val="Heading2"/>
      </w:pPr>
      <w:r>
        <w:t>Regeste</w:t>
      </w:r>
    </w:p>
    <w:p>
      <w:r>
        <w:t>Öffentliches Beschaffungswesen</w:t>
      </w:r>
    </w:p>
    <w:p>
      <w:pPr>
        <w:pStyle w:val="Heading2"/>
      </w:pPr>
      <w:r>
        <w:t>Erwägungen</w:t>
      </w:r>
    </w:p>
    <w:p>
      <w:r>
        <w:rPr>
          <w:b/>
        </w:rPr>
        <w:t>E. 1.1</w:t>
      </w:r>
    </w:p>
    <w:p>
      <w:r>
        <w:t>Gegen die Erteilung des Zuschlages durch die Ver­ga­be­stelle ist im An­wen­dungsbereich des Bundes­ge­setzes über das öffentliche Beschaffungs­wesen vom 16. De­zem­ber 1994 (BöB, SR 172.056.1) die Beschwerde an das Bundesverwaltungsgericht zulässig (Art. 29 Bst. a i.V.m. Art. 27 Abs. 1 BöB). Dabei ist es im offenen Verfahren nach ständiger Rechtsprechung zulässig, den Ausschluss von Anbietern - wie im vorliegenden Fall - erst mit dem Zuschlag zu eröffnen (Zwischenentscheid B-504/2009 vom 3. März 2009 E. 3 mit Hinweisen). Die Anfechtung des mit dem Zuschlag erfolgten Ausschlusses ist ausserdem fristgerecht erfolgt. Das Bundesverwaltungsgericht ent­scheidet auch über Gesuche um Erteilung der auf­schie­benden Wirkung (Art. 28 Abs. 2 BöB).</w:t>
      </w:r>
    </w:p>
    <w:p>
      <w:r>
        <w:rPr>
          <w:b/>
        </w:rPr>
        <w:t>E. 1.2</w:t>
      </w:r>
    </w:p>
    <w:p>
      <w:r>
        <w:t>Das BöB erfasst nur Beschaf­fungen, welche dem GATT/WTO-Über­einkommen vom 15. April 1994 über das öffentliche Beschaffungs­wesen (Government Procurement Agreement [GPA, SR 0.632.231.422]) unter­stellt sind (BVGE 2004/48 E. 2.1 mit Hinweisen). Als Teil der Bundes­verwaltung untersteht die Ver­ga­bestelle jedenfalls dem BöB (Art. 2 Abs. 1 Bst. a BöB). Die Vergabestelle geht zunächst in Ziffer 1.8 der Ausschreibung vom 10. Juni 2011 von einer Dienstleistung aus. Nach Art. 5 Abs. 1 Bst. b BöB bedeutet der Begriff "Dienstleistung" einen Vertrag über die Erbringung einer Dienstleistung nach Anhang 1 Annex 4 GPA (BVGE 2008/48 E. 2.3). Für die Zuordnung massgebend ist die provisorische Zentrale Produkteklassifikation der Vereinten Nationen (CPCprov; vgl. dazu das Urteil B-1773/2006 vom 25. September 2011, auszugsweise publiziert in BVGE 2008/48, nicht publizierte E. 3.1). Die Angabe "CPV 71541000 - Projektmanagement im Bauwesen" in Ziffer 2.4 der Ausschreibung entspricht der Sache nach einer Dienstleistung der CPC-Referenznummer 867, welche im Anhang 1 Annex 4 GPA aufgeführt ist. Aufgrund der Offert­preise, welche gemäss dem Evalua­tions­bericht für die Zuschlagsempfängerin mit rund Fr. 500'000.-- zu­grun­de gelegt worden sind, sind die gemäss Art. 6 Abs. 1 Bst. b BöB bzw. Art. 6 Abs. 2 BöB i.V.m. Art. 1 Bst. b Ver­ord­nung des EVD über die An­pas­sung der Schwellenwerte im öffentlichen Beschaffungswesen für das zweite Semester des Jahres 2010 und das Jahr 2011 (SR 172.056.12) geltenden Schwellen­werte zweifelsfrei über­schritten. Demnach fällt die in Frage stehende Beschaffung - wovon im Übrigen auch die Vergabestelle ausgeht - prima facie in den Anwendungsbereich des Bundesgesetzes über das öffentliche Beschaffungswesen.</w:t>
      </w:r>
    </w:p>
    <w:p>
      <w:r>
        <w:rPr>
          <w:b/>
        </w:rPr>
        <w:t>E. 1.3</w:t>
      </w:r>
    </w:p>
    <w:p>
      <w:r>
        <w:t>Das Verfahren vor dem Bundes­ver­wal­tungs­gericht bestimmt sich nach dem Bundesgesetz vom 20. Dezember 1968 über das Verwaltungs­verfahren (VwVG, SR 172.021), soweit das BöB und das Ver­wal­tungs­gerichtsgesetz vom 17. Juni 2005 (VGG, SR 173.32) nichts anderes bestimmen (Art. 26 Abs. 1 BöB und Art. 37 VGG). Gemäss Art. 31 BöB kann die Unangemessenheit vor Bun­des­verwaltungsgericht nicht gerügt werden.</w:t>
      </w:r>
    </w:p>
    <w:p>
      <w:r>
        <w:rPr>
          <w:b/>
        </w:rPr>
        <w:t>E. 1.4</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2</w:t>
      </w:r>
    </w:p>
    <w:p>
      <w:r>
        <w:t>Gegenstand des vorliegenden Zwischenentscheides bildet allein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 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2.2</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3.1</w:t>
      </w:r>
    </w:p>
    <w:p>
      <w:r>
        <w:t>Die Vergabestelle beruft sich im vorliegenden Fall auf den Ausschlussgrund des wesentlichen Formfehlers im Sinne von Art. 19 Abs. 3 BöB. Die Beschwerdeführerin macht dazu geltend, ihre vollständige Offerte könne in diesem Sinne nicht als fehlerhaft und schon gar nicht als mit einem wesentlichen Formfehler behaftet gelten. Dazu ist zunächst losgelöst vom zu beurteilenden Sachverhalt festzuhalten, dass der Beschwerdeführerin zuzustimmen ist, wenn sie ausführt, dass sich Art. 19 Abs. 3 BöB auf Art. 19 Abs. 1 BöB bezieht, wonach die Anbieter ihre Anträge auf Teilnahme und ihr Angebot schriftlich, vollständig und fristgerecht zureichen haben. Dieser Regel liegt der Gedanke zugrunde, dass die Vergabestelle aufgrund der eingereichten Offerten direkt zur Vergabe des Auftrags schreiten können soll (Zwischenentscheid B-1774/2006 vom 13. März 2007, publiziert in BVGE 2007/13, E. 3.1 mit Hinweisen). Die Rechtsprechung hat indessen stets betont, dass auch die Entgegennahme eines Angebots, das den Vorschriften der Ausschreibung und der Unterlagen nicht entspricht, im Hinblick auf das Gebot der Gleichbehandlung der Anbieter wie auch dasjenige der Transparenz problematisch ist (BVGE 2007/13 E. 3.1; Entscheid der BRK vom 23. Dezember 2005, veröffentlicht in VPB 70.33, E. 2a/aa). Ein Ausschluss aus formellen Gründen ist namentlich wegen eigenmächtiger Änderung der Angebotsbedingungen vorgesehen. Dies auch dann, wenn in der Folge das wirtschaftlich günstigste Angebot nicht berücksichtigt werden kann (BVGE 2007/13 E. 3.3; Urteil B-5084/2007 vom 28. Januar 2008 E. 2.1).</w:t>
      </w:r>
    </w:p>
    <w:p>
      <w:r>
        <w:rPr>
          <w:b/>
        </w:rPr>
        <w:t>E. 3.2</w:t>
      </w:r>
    </w:p>
    <w:p>
      <w:r>
        <w:t>Gemäss Art. 29 Abs. 1 BV liegt ein verpönter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mit Hinweisen). Der Offerent darf nicht schon wegen unbedeutender Mängel der Offerte oder eines Verhaltens mit Bagetellcharakter ausgeschlossen werden (BVGE 2007/13 E. 3.3; Peter Galli/André Moser/Elisabeth Lang/Evelyne Clerc, Praxis des öffentlichen Beschaffungsrechts, 1. Band, 2. Aufl., Zürich 2007, Rz. 281 mit Hinweisen). Demgegenüber sind Offerten, die unvollständig sind in Bezug auf Angaben, die sich auf das Preis-Leistungs-Verhältnis auswirken, grundsätzlich auszuschliessen (vgl. zu den Grenzen der Offertbereinigung insbesondere BVGE 2007/13 E. 3.4). Zusammenfassend lässt sich sagen, dass drei Kategorien von den Anforderungen nicht entsprechenden Offerten zu unterscheiden sind: Eine erste Kategorie umfasst Angebote, welche die Vergabestelle aufgrund ihrer Mängel nicht ohne Verletzung des Transparenz- und Gleichbehandlungsgebots in die Bewertung einbeziehen kann, also ausschliessen muss. Eine zweite Kategorie von Offerten ist dadurch gekennzeichnet, dass die Vergabestelle sie durch Rückfragen auf den verlangten Stand bringen darf, aber nicht muss; die Vergabestelle verfügt demnach in diesem Rahmen über einen gewissen Ermessensspielraum (BVGE 2007/13 E. 6.2). Die dritte und letzte Kategorie lässt sich so umschreiben, dass die Mängel des Angebots derart geringfügig sind, dass die Vergabestelle zur Bereinigung derselben Hand bieten muss (vgl. zum Ganzen BVGE 2007/13 E. 3.3 sowie den Zwischenentscheid B-7393/2008 vom 14. Januar 2009 E. 3.1 und das Urteil B-8061/2010 vom 18. April 2011 E. 6.1).</w:t>
      </w:r>
    </w:p>
    <w:p>
      <w:r>
        <w:rPr>
          <w:b/>
        </w:rPr>
        <w:t>E. 4.1</w:t>
      </w:r>
    </w:p>
    <w:p>
      <w:r>
        <w:t>Zum vorliegend relevanten Sachverhalt ist zunächst festzuhalten, dass der Vertragsentwurf gemäss den Ausschreibungsunterlagen in Bezug auf die Vergütung in Punkt 4.1.2 die Vorgabe enthält, dass nach erbrachtem Zeitaufwand vergütet wird, wobei Stundenansätze exkl. MWST für verschiedene Kategorien von Mitarbeitern zu offerieren sind. Entsprechend sind als Anhang 1 des Vertragsentwurfs Mitarbeiterlisten vorgesehen, welche diese den Kategorien im Sinne von Punkt 4.1.2 zuordnen. Dies ergibt sich aus dem Originaldokument wie folgt: In Punkt 4.1.2 des Vertragsentwurfs wird ausserdem auf die Leistungstabelle gemäss Beilage 2.3.1 verwiesen, welche ihrerseits folgende Struktur aufweist: Aus den entsprechenden Erläuterungen geht einerseits hervor, dass die zu offerierende Gesamtstundenzahl nicht variabel, sondern auf 4500 festgesetzt ist. In diesem Punkt entspricht die Offerte der Beschwerdeführerin zwar den Vorgaben, indessen hat sie prima facie entgegen den Vorgaben der Vergabestelle für alle Kategorien den gleichen Stundenansatz offeriert. Die Leistungstabelle stellt ausserdem klar, dass die offerierte Honorarsumme für die fix zu offerierenden Stundenzahlen als Grundlage dient für die Bewertung der Angebote mit Blick auf das Zuschlagskriterium Preis. Aus der Ausschreibung vom 10. Juni 2011 ergibt sich wiederum, dass die Referenzen der Schlüsselpersonen mit 10 Prozent und der Preis mit 70 Prozent gewichtet werden (Punkt 3.9). Ausserdem wird als Subkriterium des mit 20 Prozent veranschlagten Kriteriums "Auftragsanalyse" die "Beurteilung und Analyse der Stundenvorgaben der Bauherrschaft" mit 6 Prozent gewichtet (ebenfalls Punkt 3.9). Auch aus dieser Umschreibung wird das Konzept der Vergabestelle erkennbar bestätigt, wonach von der vorgegebenen Stundenzahl nicht abgewichen werden soll. Die Ausschreibung wiederum ist unangefochten in Rechtskraft erwachsen. Die Beschwerdeführerin bestreitet trotz der hohen Gewichtung des Preises mit 70 Prozent denn auch nicht die Vergaberechtskonformität der Vorgabe in Bezug den Stundenaufwand (vgl. dazu das Urteil B-8061/2010 vom 18. April 2011 E. 6.5 f.), nachdem sie diesen entsprechend den Ausschreibungsunterlagen offeriert und den vorgegebenen Stundenaufwand von insgesamt 4500 Stunden unter Punkt 2.3.2.4 (statt wie vorgesehen unter Punkt 2.3.2.1) als plausibel bezeichnet hat. Vielmehr macht sie geltend, ihre Offerte, welche auf einem einheitlichen gemittelten Honorar für sämtliche Honorar­kategorien beruht, hätte nicht ausgeschlossen werden dürfen.</w:t>
      </w:r>
    </w:p>
    <w:p>
      <w:r>
        <w:rPr>
          <w:b/>
        </w:rPr>
        <w:t>E. 4.2</w:t>
      </w:r>
    </w:p>
    <w:p>
      <w:r>
        <w:t>Die Beschwerdeführerin wirft der Vergabestelle zunächst vor, sie habe ihre Honorarofferte zu Unrecht als finanzielle Variante beurteilt. Gemäss Art. 22a Abs. 2 der Verordnung vom 11. Dezember 1995 über das öffentliche Beschaffungswesen (VöB, SR 172.056.11) sei nämlich klar, dass unterschiedliche Preisarten nicht als Varianten gelten (Beschwerde, S. 6). Tatsächlich wird im seit dem 1. Januar 2010 geltenden Art. 22a Abs. 2 VöB festgehalten, dass als Variante ein Angebot gilt, mit welchem das Ziel der Beschaffung auf andere Art als von der Auftraggeberin vorgesehen erreicht werden kann. Damit wird an die Rechtsauffassung angeknüpft, wonach nur eine "leistungsbezogene Abweichung" den Begriff der Variante erfüllt (vgl. dazu etwa das Urteil des Verwaltungsgerichts des Kantons Aargau vom 20. Oktober 2003, publiziert in: Aargauische Gerichts- und Verwaltungsentscheide [AGVE] 2003 S. 278 ff. E. 3 mit Hinweisen). Nicht als Variante gelten demnach gemäss neuem Verordnungsrecht unterschiedliche Preisarten. Damit hat der Verordnungsgeber auf den über die Fachkreise hinaus bekannt gewordenen Entscheid BRK 2005-016 vom 13. Februar 2006 betref­fend das NEAT-Los 151, Tunnel Erstfeld, reagiert, mit welchem die Eidgenös­sische Rekurskommission für das öffentliche Beschaffungswesen fest­gehalten hat, ein von den Ausschreibungsunterlagen abweichender Vergütungsmodus könne ebenfalls eine Variante darstellen (E. 4b). Im Erläuternden Bericht vom 18. November 2009 zur Änderung der VöB wird dazu festgehalten, dass es den Auftraggeberinnen immerhin unbenommen bleibe, im Einzelfall den "Amtsvorschlag" hinsichtlich der Preisart derart offen zu umschreiben, dass auch unterschiedliche Preisarten zulässig sind (a.a.O., S. 16; vgl. zum Ganzen auch Martin Beyeler, Die revidierte VöB - ein Kurzkommentar, in: Baurecht 2010, S. 106 ff., insb. S. 109). Weiter heisst es im Erläuternden Bericht, dass für den Fall, dass die Anbieterin eine andere Preisart wählt, gemäss dem vorliegen­den Verständnis keine Variante, sondern ein ausschreibungswidriges Angebot vorliegt. Der Verordnungsgeber geht dem­nach davon aus, dass Preisvarianten grundsätzlich nicht zulässig sind, wobei eine Ausnahme gelten soll für den Fall, dass die Vergabestelle ausdrücklich signalisiert, sie nehme unterschiedliche Preisarten entgegen (a.a.O., S. 16). Damit ist die Lage in diesem Fall faktisch nicht sehr viel anders als nach altem Verordnungs­recht in der Interpretation durch die Rekurskommission. Eine solche Situation liegt hier aber gerade nicht vor. In den Ausschreibungsunterlagen heisst es im Gegenteil ausdrücklich, es seien nicht nur technische, sondern auch finanzielle Varianten nicht zugelassen (Punkt 2.8 der Ausschreibung). Damit kommt es im vorliegenden Zusammenhang gar nicht darauf an, ob das Offerieren unterschiedlicher Preisarten nach dem anwendbaren Recht als Variante in Betracht kommt oder nicht. Vielmehr musste die Beschwerdeführerin die Ausschreibung so oder anders dahingehend verstehen, dass keine abweichenden Vergütungsarten offeriert werden dürfen. Selbst wenn der Begriff Variante von der Vergabestelle nicht im Sinne der Terminologie von Art. 22a VöB, sondern altrechtlich unter sinngemässer Bezugnahme auf die Rechtsprechung der BRK gebraucht wird - die Beschwerdeführerin rügt hier fälsch­licherweise eine unrichtige Sachverhaltsfeststellung im Sinne von Art. 49 Bst. b VwVG, obwohl der Sach­verhalt unstrittig ist (Beschwerde, S. 7) -, ist ohne weiteres ersichtlich, was die Auftraggeberin damit meint. Sie trifft demnach die in der Lehre nach bis Ende 2009 geltendem Verordnungsrecht angemahnte Klarstellung, dass sie keine Offerten mit abweichenden Preisarten entgegennehmen will (vgl. dazu Peter Rechsteiner, Der Angebotspreis, in: Bau­recht, Sonderheft Vergaberecht 2004, S. 17 ff., insb. S. 19). Ansonsten wäre die Aussage, finanzielle Varianten sind nicht zugelassen, so wie sie die Beschwerdeführerin verstanden wissen will, nämlich dahingehend, dass das Offerieren abweichender Preisarten nicht ausgeschlossen ist, eine in sich widersprüchliche Leerformel, was bei der Auslegung von Erklärungen nicht leichthin angenommen werden darf. Dazu passt denn auch Punkt 4.1.2 des Vertragsentwurfs, mit welchem die Möglichkeit der Offerte "gemäss gemitteltem Stundenansatz", der "für alle seitens des Beauftragten eingesetzten Mitarbeiter gilt", klar nicht gewählt worden ist. Damit bleibt im Folgenden zu prüfen, ob nicht durch Äusserungen im Rahmen der Fragerunde entgegen der Ausschreibung auf die Zulässigkeit von abweichenden Vergütungsarten geschlossen wer­den durfte, was die Beschwerdeführerin geltend macht (Beschwerde, S. 7).</w:t>
      </w:r>
    </w:p>
    <w:p>
      <w:r>
        <w:rPr>
          <w:b/>
        </w:rPr>
        <w:t>E. 4.3</w:t>
      </w:r>
    </w:p>
    <w:p>
      <w:r>
        <w:t>Gemäss Punkt 1.3 der Ausschreibung vom 10. Juni 2011 waren Fragen in deutscher Sprache via SIMAP im "Forum" Projekt einzureichen. Des Weiteren wurde deren Beantwortung bis am 29. Juni 2011 gegenüber allen Bezügern der Ausschreibungsunterlagen gleichlautend ebenfalls via SIMAP in Aussicht gestellt. Dabei sind im vorliegenden Zusammenhang zwei Fragen von Interesse, nämlich die Frage 1 und die Frage 12: Aus der Antwort auf die Frage 1 ergibt sich noch einmal der Zusammenhang zwischen der Stundenvorgabe im Rahmen der Vergütung einerseits und der Beurteilung der Stundenvorgabe durch die Anbieter im Rahmen des Zuschlagskriteriums Auftragsanalyse andererseits (vgl. E. 4.1 hiervor). Vorliegend entscheidend ist die Antwort auf die Frage 12. Die Vergabestelle sagt dazu, die Stundenansätze unterliegen der unternehmerischen Freiheit und werden nicht als solche (bezogen auf Ausbildung und Erfahrung) bewertet. Die Beschwerdeführerin macht nun geltend, damit habe sie annehmen dürfen und müssen, dass die Festlegung der Stundenansätze im freien Ermessen der Anbieter liege (Beschwerde, S. 7). Dazu ist erstens festzuhalten, dass eine Erklärung der Vergabestelle im Rahmen der Beantwortung von Fragen, welche mehreren Auslegungen zugänglich ist, nicht ohne weiteres so verstanden werden darf, dass damit die in der Ausschreibung und den Ausschreibungsunterlagen kommunizierten Rahmenbedingungen aufgegeben werden. Zweitens ist das nahelie­gendere Verständnis der Antwort in einer Aussage zu sehen, wonach die Stundenansätze einerseits im Rahmen der Preisbewertung nicht daraufhin geprüft werden, ob sie den Gepflogenheiten der Branche entsprechen oder für Fachkräfte wie die in Frage stehenden allenfalls nicht kostendeckend sind. Andererseits spielen sie auch im Rahmen der Bewertung der Offerten gestützt auf das Kriterium "Auftragsanalyse" im Unterschied zur Beurteilung der vorgegebenen Stundenzahl keine Rolle. Damit durfte die Antwort entgegen den Vorbringen der Beschwerdeführerin nicht so verstanden werden, dass damit die Vorgaben gemäss Ausschreibung und Ausschreibungsunterlagen aufgegeben worden sind. Folglich kann offen bleiben, ob es in diesem Zusammenhang darüber hinaus eine Rolle spielt, dass die Honorarberechnung nach Qualifikationskategorien gemäss Art. 6 der SIA-Norm 103 für Leistungen und Honorare der Bauingenieure und -ingenieurinnen nach den Angaben der Vergabestelle gängig und von der KBOB übernommen worden sind (Vernehmlassung, S. 4).</w:t>
      </w:r>
    </w:p>
    <w:p>
      <w:r>
        <w:rPr>
          <w:b/>
        </w:rPr>
        <w:t>E. 4.4</w:t>
      </w:r>
    </w:p>
    <w:p>
      <w:r>
        <w:t>Nach dem Gesagten ergibt sich, dass vorliegend ein ausschreibungs­widriges Angebot in Frage steht. Die Beschwerdeführerin macht auch zu Recht nicht geltend, dass es nicht im Ermessen der Vergabestelle liege zu bestimmen, ob sie die Vergütung in Form von Stundenansätzen nach Honorarkategorien oder im Sinne eines gemittelten Stundenansatzes offeriert wissen will. Die Vergabestelle führt dazu aus, mittels einer Vergütung nach Honorarkategorien sichere sie sich die benötigte Qualität der zu erbringenden Leistung, indem nicht der Anreiz geschaffen werde, die Arbeiten durch weniger qualifiziertes Personal ausführen zu lassen (Vernehmlassung, S. 4). Somit erweist sich auch der Ausschluss gestützt auf Art. 19 Abs. 3 BöB als rechtmässig, da es sich um eine das Preis-Leistungs-Verhältnis betreffende Abweichung der Offerte nicht bagatellarischer Natur handelt. Es kann hier offen bleiben, ob die Vergabestelle die Offerte trotz dieses Mangels hätte zulassen und gegebenenfalls bereinigen dürfen (vgl. E. 3.2 hiervor in fine). Fest steht jedenfalls, dass die Beschwerdeführerin die Vergabestelle im vorliegenden Fall nicht zwingen kann, ihre Offerte soweit erforderlich vergleichbar zu machen und zu bewerten (vgl. mutatis mutandis BVGE 2007/13 E. 6.3). Daran ändert auch der Umstand nichts, dass die Mitarbeiter der Beschwerdeführerin im Rahmen der Projektorganisation (Punkt 2.3.2.3 des Vertragsentwurfs bzw. der Offerte) den in Frage stehenden Honorarkategorien (von A-G) zugeordnet worden sind. Aus dem Evaluationsbericht ergibt sich denn auch, dass die Vergabestelle die Offerte tatsächlich im Rahmen der formellen Prüfung bereits ausgeschlossen hat mit der Begründung, die Beschwerdeführerin habe einen Zeitmitteltarif (ZMT) angeboten, wogegen eine Offerte mit Kategorien nach KBOB zu offerieren gewesen sei (Evaluationsbericht, S. 6 Punkt 3.1; vgl. dazu auch die Beilage 1 zum Evaluationsbericht, aus welcher ersichtlich ist, dass die in Frage stehende Offerte bereits an der formellen Prüfung gescheitert ist und auf Rückfragen wie auch auf die Eignungsprüfung verzichtet worden ist). Zusammenfassend ergibt sich, dass sich die Beschwerde als offensichtlich unbegründet erweist, weshalb das Ersuchen um Erteilung der aufschiebenden Wirkung abzuweisen ist, ohne dass eine Interessenabwägung vorzunehmen wäre (vgl. E. 2.2 hiervor).</w:t>
      </w:r>
    </w:p>
    <w:p>
      <w:r>
        <w:rPr>
          <w:b/>
        </w:rPr>
        <w:t>E. 5</w:t>
      </w:r>
    </w:p>
    <w:p>
      <w:r>
        <w:t>Die Beschwerdeführerin hat kein Akteneinsichtsgesuch gestellt. In Bezug auf die Konkurrenzofferten besteht ohnehin grundsätzlich kein Akteneinsichtsrecht (vgl. Zwischenverfügung B-1172/2011 vom 6. Mai 2011 E. 3.3 mit Hinweisen). Indessen ist der Beschwerdeführerin gestützt auf Art. 28 VwVG mit Verfügung vom 28. November 2011 eine teilweise abgedeckte Version des Evaluationsberichts und der Beilage 1 dazu ("Evaluationstabelle: Prüfung auf Vollständigkeit und Eignungskriterien") zugestellt worden. Die Vergabestelle hatte zuvor auf­grund der Instruktionsverfügung vom 25. November 2011 einen Abdeckungsvorschlag unterbreitet. Demnach ist in Bezug auf die Akteneinsicht lediglich festzustellen, dass der Beschwerdeführerin der Evaluationsbericht in dieser Form zugestellt worden ist. Da ihr zudem die Fragen und Antworten zur Ausschrei­bung bekannt sind (Beschwerdebeilage 5; Vernehmlassungsbeilage 4), ist die Beschwerdeführerin aufgrund der ihr zur Verfügung ste­henden Unterlagen in der Lage, sich ein hinreichendes Bild zur Ausgangs­lage namentlich mit Blick auf die Anfechtung des vorliegenden Entscheids zu machen (Zwischenentscheid des Bundesverwaltungsgerichts B-6177/2008 vom 20. Oktober 2008 E. 6).</w:t>
      </w:r>
    </w:p>
    <w:p>
      <w:r>
        <w:rPr>
          <w:b/>
        </w:rPr>
        <w:t>E. 6</w:t>
      </w:r>
    </w:p>
    <w:p>
      <w:r>
        <w:t>Über die Feststellung und Verlegung der Kosten des vorliegenden Zwischenentscheides ist mit dem Endentscheid zu befinden. Die weitere Instruktion des Hauptverfahrens erfolgt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