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B-6068/2007 vom 18. September 2008</w:t>
      </w:r>
    </w:p>
    <w:p>
      <w:r>
        <w:t>Bundesverwaltungsgericht, 2008-09-18, DE</w:t>
      </w:r>
    </w:p>
    <w:p>
      <w:r>
        <w:rPr>
          <w:b/>
        </w:rPr>
        <w:t xml:space="preserve">Quelle: </w:t>
      </w:r>
      <w:r>
        <w:t>https://mcp.opencaselaw.ch/entscheid/bvger_B-6068_2007</w:t>
      </w:r>
    </w:p>
    <w:p>
      <w:r>
        <w:t>FR: TAF B-6068/2007 du 18 septembre 2008</w:t>
      </w:r>
    </w:p>
    <w:p>
      <w:r>
        <w:t>IT: TAF B-6068/2007 del 18 settembre 2008</w:t>
      </w:r>
    </w:p>
    <w:p>
      <w:pPr>
        <w:pStyle w:val="Heading2"/>
      </w:pPr>
      <w:r>
        <w:t>Regeste</w:t>
      </w:r>
    </w:p>
    <w:p>
      <w:r>
        <w:t>Absolute Ausschlussgründe</w:t>
      </w:r>
    </w:p>
    <w:p>
      <w:pPr>
        <w:pStyle w:val="Heading2"/>
      </w:pPr>
      <w:r>
        <w:t>Erwägungen</w:t>
      </w:r>
    </w:p>
    <w:p>
      <w:r>
        <w:rPr>
          <w:b/>
        </w:rPr>
        <w:t>E. 1</w:t>
      </w:r>
    </w:p>
    <w:p>
      <w:r>
        <w:t>Der Entscheid der Vorinstanz vom 24. Juli 2007 stellt eine Verfügung im Sinne des Bundesgesetzes vom 20. Dezember 1968 über das Verwaltungsverfahren dar (VwVG, SR 172.021; Art. 5 Abs. 1 Bst. c). 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4 VwVG), der Vertreter hat sich bereits im vorinstanzlichen Verfahren rechtsgenüglich ausgewiesen (Art. 11 VwVG) und die übrigen Sachurteilsvoraussetzungen liegen vor (Art. 48 ff. VwVG). Auf die Verwaltungsbeschwerde ist daher einzutreten.</w:t>
      </w:r>
    </w:p>
    <w:p>
      <w:r>
        <w:rPr>
          <w:b/>
        </w:rPr>
        <w:t>E. 2</w:t>
      </w:r>
    </w:p>
    <w:p>
      <w:r>
        <w:t>Innerhalb eines Jahres ab Mitteilung einer Internationalen Markenschutzregistrierung kann die Vorinstanz erklären, dass sie dieser Marke den Schutz in der Schweiz verweigere (RKGE in sic! 2006 S. 31 Schmuckkäfer). Sie muss dafür mindestens einen in der Pariser Verbandsübereinkunft zum Schutz des gewerblichen Eigentums (PVÜ; SR 0.232.01) erwähnten Grund angeben (Art. 5 Abs. 1 des Madrider Abkommens über die internationale Registrierung von Fabrik- oder Handelsmarken, revidiert in Nizza am 15. Juni 1957, MMA, SR 0.232.112.2). Mit der Notifikation der Registrierung der Marke IR Nr. 853 858 am 3. November 2005 und dem Versand der vorsorglichen Schutzverweigerung am 11. Oktober 2006 wurde diese Jahresfrist eingehalten.</w:t>
      </w:r>
    </w:p>
    <w:p>
      <w:r>
        <w:rPr>
          <w:b/>
        </w:rPr>
        <w:t>E. 3</w:t>
      </w:r>
    </w:p>
    <w:p>
      <w:r>
        <w:t>Als Ablehnungsgrund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Schutzlands üblich seien (Art. 6quinquies Bst. b Ziff. 2 PVÜ). Diesen Grund hat die Vorinstanz unter Hinweis auf den inhaltlich entsprechenden Tatbestand von Art. 2 Bst. a MSchG, der Zugehörigkeit zum Gemeingut (Appartenance au domaine public) angerufen. Zeichen, die Gemeingut sind, sind nach jener Bestimmung vom Markenschutz ausgeschlossen, es sei denn, dass sie sich im Verkehr für die beanspruchten Waren oder Dienstleistungen durchgesetzt haben.</w:t>
      </w:r>
    </w:p>
    <w:p>
      <w:r>
        <w:rPr>
          <w:b/>
        </w:rPr>
        <w:t>E. 4.1</w:t>
      </w:r>
    </w:p>
    <w:p>
      <w:r>
        <w:t>Die Vorinstanz hat das Eintragungsgesuch der Beschwerdeführerin gestützt auf Art. 2 Bst. a und c des Markenschutzgesetzes vom 28. August 1992 (MSchG, SR 232.11) zurückgewiesen.</w:t>
      </w:r>
    </w:p>
    <w:p>
      <w:r>
        <w:rPr>
          <w:b/>
        </w:rPr>
        <w:t>E. 4.2</w:t>
      </w:r>
    </w:p>
    <w:p>
      <w:r>
        <w:t>Vom Markenschutz ausgeschlossen sind nach Art. 2 Bst. a MschG, Zeichen, die Gemeingut sind, da ihnen die erforderliche Unterscheidungskraft fehlt oder an ihnen ein Freihaltebedürfnis besteht.</w:t>
      </w:r>
    </w:p>
    <w:p>
      <w:r>
        <w:rPr>
          <w:b/>
        </w:rPr>
        <w:t>E. 4.3</w:t>
      </w:r>
    </w:p>
    <w:p>
      <w:r>
        <w:t>Als Gemeingut sind Zeichen anzusehen, die nicht zur Identifikation von Waren und Dienstleistungen dienen können und vom Publikum nicht als Hinweis auf eine bestimmte Betriebsherkunft verstanden werden (Lucas David, in: Kommentar zum schweizerischen Privatrecht, Markenschutzgesetz/Muster- und Modellgesetz, Basel 1999, MSchG Art. 2 N. 5 [nachfolgend zitiert: David, MSchG]). Zeichen, welche der Abnehmer nicht als betriebsbezogenen Unterscheidungshinweis, sondern als sachliche Aussage über Art und Eigenschaften des Produktes versteht, bilden keine Marke und sind zurückzuweisen. Gleichzeitig hat der Schutzausschlussgrund der Zugehörigkeit zum Gemeingut aber auch zu verhindern, dass dem Wirtschaftsverkehr wesentliche Zeichen entzogen, bzw. von einem Konkurrenten in wettbewerbsbeschränkender Weise monopolisiert werden Eugen Marbach, in: Roland von Büren/Lucas David [Hrsg.], Schweizerisches Immaterialgüter- und Wettbewerbsrecht, Bd. III, Kennzeichenrecht, Basel 1996, Markenrecht, S. 34 [nachfolgend zitiert: Marbach, Markenrecht].</w:t>
      </w:r>
    </w:p>
    <w:p>
      <w:r>
        <w:rPr>
          <w:b/>
        </w:rPr>
        <w:t>E. 4.4</w:t>
      </w:r>
    </w:p>
    <w:p>
      <w:r>
        <w:t>Zum Gemeingut im Sinne von Art. 2 Bst. a MSchG zählen unter anderem beschreibende Angaben. Diese nehmen unmissverständlich auf den Kennzeichnungsgegenstand Bezug, indem sie eine direkte Aussage über bestimmte Eigenschaften oder die Beschaffenheit der zu kennzeichnenden Ware machen. Es handelt sich namentlich um Angaben, die geeignet sind, im Verkehr als Hinweis auf Art, Zusammensetzung, Qualität, Quantität, Bestimmung, Gebrauchszweck, Wert, Ursprungsort oder Herstellungsort aufgefasst zu werden. Gemeingut ist allerdings nur dann anzunehmen, wenn das Publikum die Bedeutung des betreffenden Wortes unmittelbar erkennen kann, ohne dass eine besondere Denkarbeit oder ein Aufwand an Fantasie nötig ist (BGE 118 II 182 E. 3b Duo; Urteil des Bundesgerichts 4A.7/1997 vom 23. März 1998 E. 1 in sic! 1999 S. 397 Avantgarde; Entscheid der RKGE vom 29. September 1997 in sic! 1997 S. 561 E. 3 Mirabell; Entscheid der RKGE vom 6. Oktober 2000 in sic! 2001 S. 28 E. 2 Levante; Christoph Willi, in: Markenschutzgesetz, Kommentar zum schweizerischen Markenrecht unter Berücksichtigung des europäischen und internationalen Markenrechts, Zürich 2002, Art. 2 N. 35 ff. [nachfolgend: Willi, Markenschutzgesetz]; Marbach, Markenrecht, S. 37 f.).</w:t>
      </w:r>
    </w:p>
    <w:p>
      <w:r>
        <w:rPr>
          <w:b/>
        </w:rPr>
        <w:t>E. 4.5</w:t>
      </w:r>
    </w:p>
    <w:p>
      <w:r>
        <w:t>Dem Zweck der Marke als Kennzeichnungsmittel folgend ist für die Beurteilung der Unterscheidungskraft die Auffassung der Abnehmer massgebend. Das Gericht hat deshalb vorab die massgeblichen Verkehrskreise zu bestimmen (Eugen Marbach, Die Verkehrskreise im Markenrecht, in sic! 2007 S. 3 [nachfolgend zitiert: Marbach, Verkehrskrei-se]). Konsumgüter des täglichen Gebrauchs richten sich vorwiegend an den Durchschnittskonsumenten. Diesfalls dürfen nicht Kenntnisse vorausgesetzt werden, für die es besonderer Interessen oder Nachforschungen bedarf (Willi, Markenschutzgesetz, Art. 2 N. 41). Nur soweit der Kaufentscheid nicht beim eigentlichen Konsumenten liegt, sondern von dritten Kreisen gefällt wird, ist auf das Verständnis der entsprechenden Fachkreise abzustellen (Marbach, Verkehrskreise, S. 11).</w:t>
      </w:r>
    </w:p>
    <w:p>
      <w:r>
        <w:rPr>
          <w:b/>
        </w:rPr>
        <w:t>E. 4.6</w:t>
      </w:r>
    </w:p>
    <w:p>
      <w:r>
        <w:t>Die Markenprüfung erfolgt in Bezug auf alle vier Landessprachen. Dabei kommt jeder Sprache der gleiche Stellenwert zu. Ist die Marke aus Sicht der massgeblichen Verkehrskreise auch nur nach einer Landessprache schutzunfähig, so ist die Eintragung zu verweigern (Entscheid der RKGE vom 6. Oktober 2000 in sic! 2001 S. 28 E. 2 Levante; Entscheid der RKGE vom 18. August 2005 in sic! 2005 S. 21 E. 9 Gelactiv; Willi, Markenschutzgesetz, Art. 2 N. 15; Marbach, Markenrecht, S. 32).</w:t>
      </w:r>
    </w:p>
    <w:p>
      <w:r>
        <w:rPr>
          <w:b/>
        </w:rPr>
        <w:t>E. 4.7</w:t>
      </w:r>
    </w:p>
    <w:p>
      <w:r>
        <w:t>Ob ein Zeichen gemeinfrei ist, beurteilt sich sodann nach dem Gesamteindruck. Aus der Massgeblichkeit des Gesamteindrucks folgt, dass ein Zeichen nicht bereits deshalb vom Markenschutz ausgenommen ist, weil es einen gemeinfreien Bestandteil enthält. Entscheidend ist vielmehr, dass die Marke als Ganzes (in Kombination aller Elemente) nicht von gemeinfreien Elementen geprägt wird (BGE 99 II 403 E. 1a Biovital; BGE 104 Ib 139 E. 2 Sano-Vital).</w:t>
      </w:r>
    </w:p>
    <w:p>
      <w:r>
        <w:rPr>
          <w:b/>
        </w:rPr>
        <w:t>E. 5.1</w:t>
      </w:r>
    </w:p>
    <w:p>
      <w:r>
        <w:t>Die Vorinstanz stützt ihre Zurückweisung der Marke auf eine Bedeutung von "BIOROM" als eine als Ganzes nicht zu interpretierende Zeichenkombination, welche vom schweizerischen Abnehmer im Sinne von "biologische (Produkte) aus Rom" verstanden wird. Laut der Vorinstanz bestehe das Zeichen aus der üblichen Kurzform "BIO" und dem Bestandteil "ROM". Der Durchschnittsabnehmer nehme von selbst diese Auftrennung vor, da die Zeichenkombination als Ganzes keinen Sinngehalt aufweise und er somit automatisch versuchen werde, bekannte Bestanteile zu eruieren. Da die Auftrennung der Kombination in "BIO" und "ROM" rein phonetisch als auch in Bezug auf die vorhandene Silbenzahl im Vordergrund stehe und eine andere Aufteilung als nicht sprachregelkonform einzustufen wäre, könne davon ausgegangen werden, dass der schweizerische Abnehmer, auch im Hinblick auf die Tatsache, dass der Kombination ein möglicher Sinngehalt zugeordnet werden soll, "BIO" mit der üblichen Kurzform für "biologisch" und "ROM" mit der Hauptstadt Italiens in Verbindung bringe. Die Beschwerdeführerin bestreitet diese Einschätzung insbesondere mit dem Vorbringen, dass der Umstand, wonach die Endung "-ROM" in zahlreichen Marken enthalten sei, zeige, dass die Konsumenten diese Endung nicht mit der Stadt Rom in Verbindung bringen. Darüber hinaus werde "BIOROM" von den beteiligten Verkehrskreisen nicht in die einzelnen Bestandteile "BIO-" und "-ROM" zerlegt, sondern als Einheit wahrgenommen, da die Endsilbe "-ROM" keine sprachliche Aussage mache.</w:t>
      </w:r>
    </w:p>
    <w:p>
      <w:r>
        <w:rPr>
          <w:b/>
        </w:rPr>
        <w:t>E. 5.2</w:t>
      </w:r>
    </w:p>
    <w:p>
      <w:r>
        <w:t>Beim in Frage stehenden Zeichen geht es um eine reine Wortmarke. Trennt man das Zeichen in zwei Silben auf, so sind die zwei Bestandteile "BIO-" und "-ROM" zu erkennen. Die Auftrennung in "BI-" und "-OROM" oder "BI-" "-O-" "-ROM" wäre allerdings, laut der Beschwerdeführerin, genauso plausibel. Geht man von den zwei Silben "BIO- und "-ROM" aus, so ist der vorbekannte Teil "BIO" zu erkennen. Mit dem für markenmässige Benützung beliebten Ausdruck "BIO" hatte sich das Bundesgericht mehrere Male zu befassen, nämlich in den Zusammensetzungen "BIOCLINIQUE" (BGE 101 Ib 15), "BIOVITAL" (BGE 99 II 402) und "BIONORM" (Urteil vom 29. März 1977 i. S. Merck, veröffentlicht in PMMBI 1977 I 44). Wie in diesen Entscheiden ausgeführt worden ist, stammt der Ausdruck aus dem Griechischen, bedeutet in erster Linie Leben und kommt in Haupt- wie in Eigenschaftswörtern vor. Im Wort "biologisch" weist er von allem auf die naturreine Zusammensetzung oder Erzeugung von Nahrungsmitteln hin. Als Hinweis auf Produkte von natürlicher Beschaffenheit werden das Wort "biologisch" und die Abkürzung "BIO" auch in der Werbung für Pflege- und Schönheitsmittel verwendet (BGE 101 Ib 17 und vgl. für alle Urteil vom 12. September 1979 i. S. Pharma-Cosma veröffentlicht in PMMBI 1979 I 55 "BIOCERNE").</w:t>
      </w:r>
    </w:p>
    <w:p>
      <w:r>
        <w:rPr>
          <w:b/>
        </w:rPr>
        <w:t>E. 6.1</w:t>
      </w:r>
    </w:p>
    <w:p>
      <w:r>
        <w:t>Weder die Vorinstanz noch das Bundesverwaltungsgericht, welche den Sachverhalt von Amtes wegen abzuklären haben, vermochten aussagekräftig glaubhaft zu machen, dass in BIOROM ein Hinweis auf die Stadt Rom erkannt wird und, dass der Stadt eine erhebliche Bedeutung im Zusammenhang mit der Kosmetikindustrie zukäme. Insbesondere vermochten beide nicht darzulegen, welche der Produkte der Klasse 3 in Rom heute oder in naher Zukunft in nennenswertem Umfang produziert, angeboten oder in der Schweiz zum Verkauf eingeführt werden, oder darzulegen, aus welchen anderen Tatsachen sich ein sachlicher Zusammenhang der Stadt mit den genannten Produkten ergibt. Die von der Vorinstanz beigelegten Auszüge aus www.paginegialle.it ergeben unter dem Suchkriterium "cosmetica, Roma" 5 Treffer, was im Vergleich zum Beispiel zu Milano mit 48 Treffern, Turin mit 6 Treffern, Bologna mit 8 Treffern, Parma mit 7 Treffern, zum Teil wesentlich kleiner erscheint und sich mit verhältnismässigem Aufwand nicht weiter abklären lässt. Nachdem für das Bundesverwaltungsgericht nicht erstellt ist, dass der massgebliche Konsumentenkreis in BIOROM einen Hinweis auf die Stadt Rom erkennen wird, erübrigen sich hierzu weitere Ausführungen. Wortbildungen wie in casu, die bloss entfernt, mit Hilfe besonderer Fantasie auf die Beschaffenheit, Herkunft oder Zweckbestimmung einer Ware schliessen lassen, sind indessen nicht Gemeingut (BGE 99 I 404 mit Hinweisen) und kann die Markenfähigkeit nicht abgesprochen werden.</w:t>
      </w:r>
    </w:p>
    <w:p>
      <w:r>
        <w:rPr>
          <w:b/>
        </w:rPr>
        <w:t>E. 6.2</w:t>
      </w:r>
    </w:p>
    <w:p>
      <w:r>
        <w:t>Die Buchstabenfolge "B-I-O-R-O-M" ergibt nach den Sprachregeln keine eindeutige, bestimmte Bedeutung. Der Adressat könnte in der Buchstabensequenz "BIOROM" das Präfix "BIO" erblicken, vermag aber in der Kombination von "BIO" mit "ROM" keinen bestimmten und logischen Sinn zu erkennen. Nach den deutschen Sprachregeln müsste das Wort so etwas bedeuten wie "biologisches Rom" was dann aber eher der Bedeutung eines "umweltfreundlichen Roms" naheliegen würde. Der Vorinstanz kann deswegen nicht gefolgt werden, wenn sie darauf hinweist, dass "BIOROM" als "biologische Produkte aus Rom" aufgefasst wird.</w:t>
      </w:r>
    </w:p>
    <w:p>
      <w:r>
        <w:rPr>
          <w:b/>
        </w:rPr>
        <w:t>E. 6.3</w:t>
      </w:r>
    </w:p>
    <w:p>
      <w:r>
        <w:t>Es ist unbestritten, dass "ROM" für sich allein genommen (italienisch/lateinisch Roma), als Hinweis auf die Stadt Rom zu deuten wäre. Strittig ist demgegenüber die Frage, ob "-ROM" als Endung von "BIOROM", in den relevanten Kreisen als relativ bedeutungslose Endsilbe oder eben gerade als Hinweis auf die Hauptstadt Italiens verstanden wird. Die Beschwerdeführerin macht dazu geltend, dass die Buchstabenfolge "R-O-M" in verschiedenen Formen vorkommt: als Wort für die Stadt "Rom"; als Wort für einen "männlichen Zigeuner" und als Abkürzung für "read only memory" im Zusammenhang mit CD-rom. Der Konsument wird in der Kombination "BIOROM" das Element "BIO-" wohl erkennen. Der Betrachter hat aber keinen Anlass, die Marke in die Bestandteile "BIO" und "ROM" zu zergliedern und sich um deren Bedeutung zu kümmern (vgl. sic! 1999 S. 558 Dystar). Die Verbindung der beiden Silben "BIO" und "ROM" zur Kombination von "BIOROM" weist keine bestehende Wortbedeutung auf, sondern entspricht einer neuen Wortbildung. Im Zusammenhang mit den von der hinterlegten Marke beanspruchten Waren ist im Zeichen "BIOROM" kein eindeutiger Wortsinn und entsprechend auch keine unmittelbare Beschreibung enthalten. Eine solche Beurteilung wird durch den Umstand nahe gelegt, dass sich der Wortbestanteil "BIO" in der Regel auf das nachfolgende Substantiv bezieht, mithin dazu dient, die Art der Produktion oder die Produktionsweise zu charakterisieren (vgl. BGE 99 II 401). Entspricht das Nachwort dem Namen einer Stadt, so wird aus der Kombination nicht ohne weiteres abgeleitet werden, diese sei biologisch oder als solche naturnahe. Mit anderen Worten, selbst wer in der Marke "BIOROM" das Wort "ROM" erkennt, wird wegen der Bedeutungslosigkeit des ganzen Zeichens in der Marke als ganzes keine unmittelbar beschreibende Aussage erkennen (vgl. sic! 1999 S. 558 Dystar). In der Struktur des Wortes "BIOROM" lässt sich eine typische Bauweise (vgl. weitere Beispiele wie Gasprom, Syndrom, Fibrom, Cytochrom unter http://wortschatz.uni-leipzig.de/) erkennen, die auch für die Struktur von Wortneuschöpfungen in der Wissenschaft charakteristisch ist, und wo bestimmte Regelmässigkeiten der Wortbildung vorkommen. Dabei spielen Endungen wie -ol, -al, -an, -il, -yl, die in der Pharmazie und der Chemie gebräuchlich sind, eine wichtige Rolle und geben den entsprechenden Markennamen den Anstrich von Fachtermini und den Produkten damit die Aura einer wissenschaftlich garantierten Qualität (vgl. Laura Sergo, Bewusstsein im Spiegel der Markenrechtsprechung, in: Kultur und Übersetzung. Methodologische Probleme des Kulturtransfers, Tübingen, Narr, 2 (2002), S. 269-281; mit zahlreichen Hinweisen). Es ist denkbar, dass "-ROM" eine ähnliche Funktion zukommen könnte, wobei dies kaum oder nur in sehr entferntem Masse eine Assoziation zur Stadt Rom auslösen dürfte.</w:t>
      </w:r>
    </w:p>
    <w:p>
      <w:r>
        <w:rPr>
          <w:b/>
        </w:rPr>
        <w:t>E. 6.4</w:t>
      </w:r>
    </w:p>
    <w:p>
      <w:r>
        <w:t>Ob eine geografische Bezeichnung, die als Bestandteil einer Marke verwendet werden soll, zur Täuschung des Publikums geeignet ist, entscheidet sich nicht allgemein, sondern hängt von den Umständen des Einzelfalles ab. Dazu gehören insbesondere die Bekanntheit des Wortes als geografische Angabe und als Marke, tatsächliche oder naheliegende Beziehungen zwischen dieser und zusätzlichen Angaben, welche die Täuschungsgefahr erhöhen oder beseitigen können. Entscheidend ist, ob eine Marke beim Publikum eine Ideenverbindung zu einer bestimmten Gegend oder einem bestimmten Ort hervorruft und so mindestens indirekt die Vorstellung einer Herkunftsangabe weckt. In solchen Fällen besteht die Gefahr der Irreführung, falls die mit dem Zeichen versehenen Waren nicht dort hergestellt werden (BGE 132 III 770 E. 2.1 Colorado mit Hinweisen, BGE 4A.14/2006 vom 7. Dezember 2006 E. 4.1 Champ; BGE 128 III 454 E. 2.2 Yukon). Nicht unter den Begriff der Herkunftsangabe fallen nach Art. 47 Abs. 2 MSchG geografische Namen und Zeichen, die von den massgebenden Verkehrskreisen nicht als Hinweis auf eine bestimmte Herkunft der Waren oder Dienstleistungen verstanden werden. Keine Gefahr der Irreführung besteht, wenn die geografische Angabe für die beanspruchten Waren und Dienstleistungen erkennbar - trotz bekanntem geografischem Gehalt - Fantasiecharakter hat, offensichtlich nicht als Produktions-, Fabrikations- oder Handelsort in Frage kommt, als Typenbezeichnung erkannt wird oder sich im Verkehr als Kennzeichen für ein bestimmtes Unternehmen durchgesetzt hat (vgl. BGE 132 III 770 E. 2.1 Colorado, BGE 4A.14/2006 vom 7. Dezember 2006 E. 4.1 Champ, BGE 128 III 454 E. 2.1 Yukon, BGE 117 II 327 E. 2 Montparnasse).</w:t>
      </w:r>
    </w:p>
    <w:p>
      <w:r>
        <w:rPr>
          <w:b/>
        </w:rPr>
        <w:t>E. 7</w:t>
      </w:r>
    </w:p>
    <w:p>
      <w:r>
        <w:t>Zusammenfassend ergibt sich, dass die Vorinstanz die Eintragung der hinterlegten Marke "BIOROM" für die beanspruchten Waren der Klasse 3 (Seifen, Parfümeriewaren, ätherische Öle, Mittel zur Körper- und Schönheitspflege, Haarwässer und Zahnputzmittel) zu Unrecht zurückgewiesen hat. Die Beschwerde ist daher gutzuheissen und der internationalen Marke Nr. 853 858 in der Schweiz Schutz zu gewähren.</w:t>
      </w:r>
    </w:p>
    <w:p>
      <w:r>
        <w:rPr>
          <w:b/>
        </w:rPr>
        <w:t>E. 8</w:t>
      </w:r>
    </w:p>
    <w:p>
      <w:r>
        <w:t>Bei diesem Ausgang des Verfahrens sind keine Kosten zu erheben (Art. 63 Abs. 2 VwVG), und es ist der Beschwerdeführerin der geleistete Kostenvorschuss zurück zu erstatten. Der obsiegenden, anwaltlich vertretenen Beschwerdeführerin ist eine Parteientschädigung für die ihr erwachsenen notwendigen und verhältnismässig hohen Kosten des Beschwerdeverfahrens zuzusprechen (Art. 64 Abs. 1 VwVG). Da die Beschwerdeführerin keine Kostennote eingereicht hat, ist die Parteientschädigung aufgrund der Akten zu bestimmen und auf Fr. 2'500.- (inkl. MWST) festzusetzen (Art. 8 und 14 Abs. 2 des Reglements vom 21. Februar 2008 über die Kosten und Entschädigungen vor dem Bundesverwaltungsgericht (VGKE, SR 173.320.2). Fehlt wie vorliegend eine unterliegende Gegenpartei,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beauftragt (Art. 2 Abs. 1 Bst. a und b IGEG). Gestützt darauf hat die Vorinstanz die angefochtene Verfügung in eigenem Namen erlassen und die dafür vorgesehene Gebühr erhoben. Ihr sind demnach die Parteikosten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