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B-6062/2011 vom 22. März 2012</w:t>
      </w:r>
    </w:p>
    <w:p>
      <w:r>
        <w:t>Bundesverwaltungsgericht, 2012-03-22, DE</w:t>
      </w:r>
    </w:p>
    <w:p>
      <w:r>
        <w:rPr>
          <w:b/>
        </w:rPr>
        <w:t xml:space="preserve">Quelle: </w:t>
      </w:r>
      <w:r>
        <w:t>https://mcp.opencaselaw.ch/entscheid/bvger_B-6062_2011</w:t>
      </w:r>
    </w:p>
    <w:p>
      <w:r>
        <w:t>FR: TAF B-6062/2011 du 22 mars 2012</w:t>
      </w:r>
    </w:p>
    <w:p>
      <w:r>
        <w:t>IT: TAF B-6062/2011 del 22 marzo 2012</w:t>
      </w:r>
    </w:p>
    <w:p>
      <w:pPr>
        <w:pStyle w:val="Heading2"/>
      </w:pPr>
      <w:r>
        <w:t>Regeste</w:t>
      </w:r>
    </w:p>
    <w:p>
      <w:r>
        <w:t>Amtshilfe</w:t>
      </w:r>
    </w:p>
    <w:p>
      <w:pPr>
        <w:pStyle w:val="Heading2"/>
      </w:pPr>
      <w:r>
        <w:t>Erwägungen</w:t>
      </w:r>
    </w:p>
    <w:p>
      <w:r>
        <w:rPr>
          <w:b/>
        </w:rPr>
        <w:t>E. 1</w:t>
      </w:r>
    </w:p>
    <w:p>
      <w:r>
        <w:t>Das Bundesverwaltungsgericht ist für die Beurteilung der vorliegenden Streitsache zuständig (Art. 38 Abs. 5 des Börsengesetzes vom 24. März 1995 [BEHG, SR 954.1] i.V.m. Art. 31 f. sowie Art. 33 Bst. e des Verwaltungsgerichtsgesetzes vom 17. Juni 2005 [VGG, SR 173.32]). Bei der Beschwerdeführerin handelt es sich um eine juristische Person in der Form einer Aktiengesellschaft nach Art. 620 ff. des Obligationenrechts vom 30. März 1911 (OR, SR 220). Die Beschwerdeführerin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Sie ist daher zur Beschwerdeführung legitimiert. Der Vertreter hat sich rechts­genüglich durch schriftliche Vollmacht ausgewiesen (Art. 11 VwVG). Die Beschwerde wurde frist- und formgerecht eingereicht und die übrigen Sachurteilsvoraussetzungen liegen vor (Art. 38 Abs. 5 BEHG, Art. 52 Abs. 1 und Art. 44 ff. VwVG). Auf die Beschwerde ist daher einzutreten.</w:t>
      </w:r>
    </w:p>
    <w:p>
      <w:r>
        <w:rPr>
          <w:b/>
        </w:rPr>
        <w:t>E. 2</w:t>
      </w:r>
    </w:p>
    <w:p>
      <w:r>
        <w:t>Die Beschwerdeführerin rügt eine Verletzung von Art. 38 Abs. 2 Bst. a und b BEHG und führt hierzu aus, der BaFin dürfe nicht grundsätzlich Amtshilfe geleistet werden; die Vollmitgliedschaft der BaFin beim "Multilateral Memorandum of Understanding Concerning Consultation and Cooperation and the Exchange of Information" (MMoU) der "International Organisation of Securities Commission" (IOSCO; MMoU publiziert auf der Webseite der IOSCO &lt;http://www.iosco.org&gt; &gt; Library &gt; Corporate Documents &gt; Multilateral Memorandum of Understanding &gt; Text of the IOSCO MOU, besucht am 22. März 2012) impliziere nicht automatisch die in Art. 38 Abs. 2 Bst. a und b BEHG geforderte Gewährleistung der Vertraulichkeit und Spezialität durch die ausländische Finanzmarkt­auf­sichtsbehörde. Der BaFin kann im Rahmen von Art. 38 Abs. 2 BEHG in konstanter Praxis Amtshilfe geleistet werden (Urteil des Bundesgerichts 2A.12/2007 vom 17. April 2007 E. 3.1 mit Hinweisen; BVGE 2011/14 E. 4 mit Hinweis, Urteile des Bundesverwaltungsgerichts B-994/2009 vom 13. Mai 2009 E. 3.2 mit Hinweisen sowie B-3900/2008 vom 24. Juli 2008 E. 3 mit Hinweisen). Die Beschwerdeführerin legt nicht dar, inwiefern (konkrete) Anhaltspunkte dafür bestehen würden, dass die BaFin das Spezialitätsprinzip nicht einhalten könnte, sondern äussert lediglich nicht weiter präzisierte Zweifel. Bis zum Beweis des Gegenteils darf die Vorinstanz davon ausgehen, dass sich die BaFin im Interesse einer funktionierenden Zusammenarbeit an die im Dispositiv der angefochtenen Verfügung gemachten Vorbehalte (Ziff. 3) halten wird (Urteil des Bundesgerichts 2A.12/2007 vom 17. April 2007 E. 3.1). Es besteht somit vorliegend kein Anlass, von der ständigen Rechtsprechung abzuweichen.</w:t>
      </w:r>
    </w:p>
    <w:p>
      <w:r>
        <w:rPr>
          <w:b/>
        </w:rPr>
        <w:t>E. 3</w:t>
      </w:r>
    </w:p>
    <w:p>
      <w:r>
        <w:t>Die Beschwerdeführerin macht eine Verletzung ihres Anspruchs auf recht­liches Gehör geltend. Zu prüfen ist daher, ob die Einschränkung des Akteneinsichtsrechts gegenüber der Beschwerdeführerin in Bezug auf die Amtshilfeersuchen der BaFin zu Recht erfolgt ist.</w:t>
      </w:r>
    </w:p>
    <w:p>
      <w:r>
        <w:rPr>
          <w:b/>
        </w:rPr>
        <w:t>E. 3.1</w:t>
      </w:r>
    </w:p>
    <w:p>
      <w:r>
        <w:t>Die Beschwerdeführerin macht geltend, es bestünden vorliegend keine Geheimhaltungsgründe. Eine Behörde könne nicht frei über eine Beschränkung des Akteneinsichtsrechts entscheiden; sie sei vielmehr gehalten, verschiedene entgegenstehende Interessen auszugleichen. Ein wesentliches öffentliches Interesse an der Verweigerung der Akteneinsicht in das Amts­hilfeersuchen lasse sich aus der Spekulation und den Ängsten der Vorinstanz über die Kündigung der Mitgliedschaft bei einem Memorandum of Understanding zwischen Verwaltungsbehörden nicht begründen. Eine Einschränkung des Akteneinsichtsrechts aufgrund einer noch nicht abgeschlossenen amtlichen Untersuchung sei nur gerechtfertigt, wenn sehr wahrscheinlich sei, dass durch die Gewährung der Akteneinsicht der Ablauf des Verfahrens erheblich gestört würde; dies sei vorliegend nicht ersichtlich. Auch das Argument der Vorinstanz, dass infolge der Gewährung des Akteneinsichtsrechts künftig ihre Amtshilfeersuchen von der BaFin offengelegt werden könnten, rechtfertige die Einschränkung nicht. Durch die Verweigerung der Akteneinsicht könne die Beschwerdeführerin ihre Parteirechte nicht wirksam wahrnehmen. Die Verweigerung sei unverhältnismässig. Die Voraussetzungen von Art. 27 Abs. 1 Bst. a VwVG seien nicht erfüllt, da sich das geltend gemachte öffentliche Interesse auf reine Vermutungen stütze. Das MMoU sei kein Staatsvertrag, sondern lediglich ein Verständigungsprotokoll aus dem keine völkerrechtlichen Verpflichtungen abgeleitet werden könnten. Mit der Gewährung des Akteneinsichtsrechts werde weder die grundsätzliche Anwendbarkeit der Bestimmungen des MMoU beeinträchtigt, noch folge daraus ein Mitgliedschaftsentzug.</w:t>
      </w:r>
    </w:p>
    <w:p>
      <w:r>
        <w:rPr>
          <w:b/>
        </w:rPr>
        <w:t>E. 3.2</w:t>
      </w:r>
    </w:p>
    <w:p>
      <w:r>
        <w:t>Die Vorinstanz führt aus, sie stütze ihren Entscheid zur Leistung von Amtshilfe ausschliesslich auf Sachverhaltselemente, die der Beschwerdeführerin mehrmals vollständig zur Kenntnis gebracht worden seien. Die Offenlegung des ausländischen Amtshilfeersuchens könne das wirtschaftliche Wohl des Landes gefährden. Zudem sei die Akteneinsicht aus Respekt vor der ausländischen Untersuchung zu verweigern. Dies liege im Wesentlichen in der grossen Bedeutung einer funktionierenden Kooperation mit der deutschen Aufsichtsbehörde für den schweizerischen Finanzplatz und den negativen Folgen, welche ein Verlust der Mitgliedschaft des MMoU zur Folge hätte, begründet. Wenn eine Behörde nicht in der Lage sei, die Bedingungen des MMoU einzuhalten, sei sie gehalten, die andere Behörde (vorliegend die BaFin) zu konsultieren. Eine Meldung könne schliesslich zum Entzug der Mitgliedschaft führen. Müsste die Vorinstanz eine Verletzung von Art. 11 Bst. a MMoU, wonach die Korrespondenz zwischen Aufsichtsbehörden und insbesondere die Amtshilfeersuchen geheim zu halten seien, zur Kenntnis bringen, wäre der Verlust der MMoU-Mitgliedschaft entgegen der Ansicht der Beschwerdeführerin höchst wahr­scheinlich. Nebst einem Reputationsschaden für den Schweizer Finanzplatz und dem Erscheinen auf einer öffentlich zugänglichen sog. Watch-List der IOSCO, habe dieser Verlust der Mitgliedschaft auch negative Folgen für die Schweizer Finanzintermediäre. Überdies führe inzwischen auch das Financial Stability Board (FSB) eine Liste mit denjenigen Staaten, die das MMoU als internationalen Standard nicht einhielten; dadurch habe sich die Forderung nach Einhaltung des MMoU seit dem letzten Urteil des Bundesveraltungsgerichts bezüglich Akteneinsicht in Amtshilfeersuchen konkretisiert. Zwischen den allgemeinen Interessen der Schweiz an der Geheimhaltung der Original-Amtshilfe­er­suchen und dem Einzelinteresse eines der Zuwiderhandlung gegen Finanzmarktgesetze Verdächtigen bestehe ein deutliches Gefälle. Weiter macht die Vorinstanz verschiedene inhaltliche Gefährdungsmomente gel­tend (im Einzelnen vgl. oben Sachverhalt J.).</w:t>
      </w:r>
    </w:p>
    <w:p>
      <w:r>
        <w:rPr>
          <w:b/>
        </w:rPr>
        <w:t>E. 4.1</w:t>
      </w:r>
    </w:p>
    <w:p>
      <w:r>
        <w:t>Der Anspruch auf rechtliches Gehör gemäss Art. 29 Abs. 2 der Bundesverfassung der Schweizerischen Eidgenossenschaft vom 18. April 1999 (BV, SR 101) umfasst nach ständiger Rechtsprechung und Lehre das Recht der Parteien auf Akteneinsicht. Dieses wird auf Gesetzesebene für das Bundesverwaltungsverfahren in den Art. 26 ff. VwVG konkretisiert. Nach Art. 26 Abs. 1 VwVG hat jede Partei oder ihr Vertreter Anspruch darauf, in ihrer Sache die Verfahrensunterlagen am Sitz der verfügenden Behörde einzusehen. Dazu gehören namentlich alle als Beweismittel dienenden Aktenstücke (Art. 26 Abs. 1 Bst. b VwVG). Die Behörde darf die Einsichtnahme in die Akten nur verweigern, wenn u.a. wesentliche öffentliche Interessen des Bundes oder der Kantone, insbesondere die innere oder äussere Sicherheit der Eidgenossenschaft (Art. 27 Abs. 1 Bst. a VwVG) oder das Interesse einer noch nicht abgeschlossenen amtlichen Untersuchung (Art. 27 Abs. 1 Bst. c VwVG), die Geheimhaltung erfordern. Die Aufzählung der Interessen in Art. 27 Abs. 1 Bst. a VwVG ist beispielhaft, mithin nicht abschliessend.</w:t>
      </w:r>
    </w:p>
    <w:p>
      <w:r>
        <w:rPr>
          <w:b/>
        </w:rPr>
        <w:t>E. 4.1.1</w:t>
      </w:r>
    </w:p>
    <w:p>
      <w:r>
        <w:t>Nicht jedes entgegenstehende öffentliche (oder private [vgl. Art. 27 Abs. 1 Bst. b VwVG]) Interesse rechtfertigt die Verweigerung oder Einschränkung der Akteneinsicht: Es ist Aufgabe der Verwaltungsbehörde oder im Streitfall des Richters, im Einzelfall abzuwägen, ob ein konkretes Geheimhaltungsinteresse das grundsätzlich (ebenfalls) wesentliche Interesse an der Akteneinsicht über­wiegt. Es wäre unzulässig, bestimmte Kategorien von Dokumenten generell von der Akteneinsicht auszunehmen. Die sorgfältige und umfassende Abwägung und Bewertung der im Konflikt stehenden Interessen ist dabei nach pflichtgemässem Ermessen und unter Berücksichtigung des Verhältnismässigkeitsprinzips vorzunehmen (grund­legend BGE 115 V 297 E. 2c ff. mit Hinweisen; Stephan C. Brunner, in: Auer/Müller/Schindler [Hrsg.], Kommentar zum Bundesgesetz über das Verwaltungsverfahren [VwVG], Zürich 2008, Rz. 9 ff. zu Art. 27 mit Hinweisen). Bei dem in Art. 27 Abs. 1 Bst. a und b VwVG verwendeten Begriff des "wesentlichen Interesses" öffentlicher oder privater Natur handelt es sich um einen unbestimmten Rechtsbegriff, der den Behörden einen weiten Beurteilungsspielraum einräumt. Welches dem Einsichtsrecht entgegenstehende Interesse als wesentlich zu gelten hat, bestimmt sich nicht generell, sondern im konkreten Einzelfall (BGE 117 Ib 481 E. 7a/aa mit Hinweis). Jedoch vermögen nur qualifizierte Interessen, die das grundsätzliche Interesse an der Akteneinsicht überwiegen, dieses im Einzelfall einzuschränken. Eine Behörde, die ein Akteneinsichtsgesuch mit pauschalen Hinweisen auf Geheimhaltungsinteressen abweist, begeht eine formelle Rechtsverweigerung (Urteil des Bundesgerichts 2A.651/2005 vom 21. November 2006 E. 2.6.2 mit Hinweisen; Bernhard Waldmann/Mag­nus Oeschger, in: Praxiskommentar VwVG, Waldmann/Weissenberger [Hrsg.], Zürich 2009, Art. 27 N 17).</w:t>
      </w:r>
    </w:p>
    <w:p>
      <w:r>
        <w:rPr>
          <w:b/>
        </w:rPr>
        <w:t>E. 4.1.2</w:t>
      </w:r>
    </w:p>
    <w:p>
      <w:r>
        <w:t>Eine Beschränkung der Akteneinsicht unter Berufung auf die Wahrung der äusseren Sicherheit, die hier in erster Linie in Frage kommt, wird in der Rechtsprechung und Lehre als zulässig angesehen, um die Interessen an der Wahrung völkerrechtlicher Verpflichtungen und die Pflege guter Beziehungen zum Ausland sicherzustellen. Genannt wird insoweit etwa das Interesse an der Vermeidung gravierender aussenpolitischer Friktionen, z.B. wenn bestimmte Dokumente nach internationalen Vereinbarungen oder Gepflogenheiten vertraulich sind, oder an der wirksamen Vertretung schweizerischer Interessen gegenüber ausländischen Behörden (vgl. nur Brunner, a.a.O., Rz. 21 f. zu Art. 27 mit Hinweisen). Denkbar ist auch die Berufung auf den Schutz des öffentlichen Interesses an funktionsfähigen staatlichen Institutionen, wie die FINMA eine ist (Brunner, a.a.O., Rz. 23 f. zu Art. 27 mit Hinweisen). Weiter kann der Akteneinsicht eine spezialgesetzliche Geheimnisnorm entgegenstehen (Brunner, a.a.O., Rz. 25 zu Art. 27 mit Hinweisen).</w:t>
      </w:r>
    </w:p>
    <w:p>
      <w:r>
        <w:rPr>
          <w:b/>
        </w:rPr>
        <w:t>E. 4.1.3</w:t>
      </w:r>
    </w:p>
    <w:p>
      <w:r>
        <w:t>Die Akteneinsicht kann auch verweigert werden, wenn das Interesse einer noch nicht abgeschlossenen amtlichen Untersuchung es erfordert (Art. 27 Abs. 1 Bst. c VwVG). Insoweit muss sehr wahrscheinlich sein, dass durch die vollumfängliche Gewährung der Akteneinsicht der Ablauf des Verfahrens erheblich gestört oder die sachgerechte Aufgabenerfüllung der Behörde in Frage gestellt wird. Voraussetzung ist regelmässig, dass klare Hinweise auf eine solche Gefährdung vorliegen (Brunner, a.a.O., Rz. 38 ff. zu Art. 27 mit Hinweisen).</w:t>
      </w:r>
    </w:p>
    <w:p>
      <w:r>
        <w:rPr>
          <w:b/>
        </w:rPr>
        <w:t>E. 4.2</w:t>
      </w:r>
    </w:p>
    <w:p>
      <w:r>
        <w:t>Aus Art. 27 Abs. 2 VwVG ergibt sich, dass sich die Verweigerung der Akteneinsicht auf das Erforderliche zu beschränken hat. Mithin dürfen nur Akten und Aktenteile, welche selber einen geheimhaltungswürdigen Inhalt aufweisen, der Einsichtnahme entzogen werden (Waldmann/Oeschger, a.a.O., Art. 27 N 38). Soweit sich die Geheimhaltungsgründe nicht auf das gesamte Dokument beziehen, ist eine teilweise Einsicht in die Akten zu gewähren (beispielsweise durch Abdeckung der entsprechenden Stellen; Brunner, a.a.O., Rz. 43 zu Art. 27).</w:t>
      </w:r>
    </w:p>
    <w:p>
      <w:r>
        <w:rPr>
          <w:b/>
        </w:rPr>
        <w:t>E. 4.3</w:t>
      </w:r>
    </w:p>
    <w:p>
      <w:r>
        <w:t>Im Falle einer nach Art. 27 VwVG zu Recht erfolgten Verweigerung der Einsichtnahme in ein Aktenstück darf auf dieses gemäss Art. 28 VwVG zum Nachteil der Partei nur abgestellt werden, wenn ihr die Behörde von seinem für die Sache wesentlichen Inhalt mündlich oder schriftlich Kenntnis und ihr ausserdem Gelegenheit gegeben hat, sich zu äussern und Gegenbeweismittel zu bezeichnen (Urteil des Bundesverwaltungsgerichts B-5469/2010 vom 7. Dezember 2010 E. 4.2.7). Wie das Bundesverwaltungsgericht in diesem Entscheid dargelegt hat, kommt Art. 28 VwVG nur zur Anwendung, wenn gar keine Akteneinsicht gewährt wurde; kann hingegen ein Aktenstück - hier das Amtshilfeersuchen - in Anwendung von Art. 27 Abs. 2 VwVG beispielsweise durch Abdeckungen von Passagen, für die ein überwiegendes Geheimhaltungsinteresse der Behörde besteht, der betroffenen Partei teilweise zugänglich gemacht werden, kommt Art. 28 VwVG nicht zur Anwendung, bzw. nur in Bezug auf die abgedeckten Stellen.</w:t>
      </w:r>
    </w:p>
    <w:p>
      <w:r>
        <w:rPr>
          <w:b/>
        </w:rPr>
        <w:t>E. 5</w:t>
      </w:r>
    </w:p>
    <w:p>
      <w:r>
        <w:t>Vorliegend beruft sich die Vorinstanz auf gewichtige Gründe für eine Beschränkung des Akteneinsichtsrechts i.S.v. Art. 27 Abs. 1 Bst. a und c VwVG.</w:t>
      </w:r>
    </w:p>
    <w:p>
      <w:r>
        <w:rPr>
          <w:b/>
        </w:rPr>
        <w:t>E. 5.1</w:t>
      </w:r>
    </w:p>
    <w:p>
      <w:r>
        <w:t>Zu prüfen ist zunächst das Vorliegen überwiegender öffentlicher Interessen im Sinne von Art. 27 Abs. 1 Bst. a VwVG.</w:t>
      </w:r>
    </w:p>
    <w:p>
      <w:r>
        <w:rPr>
          <w:b/>
        </w:rPr>
        <w:t>E. 5.1.1</w:t>
      </w:r>
    </w:p>
    <w:p>
      <w:r>
        <w:t>Das Bundesverwaltungsgericht hatte bereits Gelegenheit, sich eingehend mit den von der Vorinstanz vorgebrachten Gefährdungen öffentlicher Interessen im Falle der Gewährung der Einsicht in Amtshilfeersuchen auseinanderzusetzen (vgl. Urteil des Bundesverwaltungsgerichts B-5469/2010 vom 7. Dezember 2010, insbesondere E. 4.2.2 ff.). Darauf kann hier verwiesen werden. In jenem Entscheid hat das Bundesverwaltungsgericht aufgrund der Umstände des konkreten Falles, insbesondere der besonderen gesuchsspezifischen Gefahrenlage im Verhältnis zum ersuchenden Staat Italien, überwiegende öffentliche Interessen an der Verweigerung der Einsicht in das Amtshilfeersuchen (noch) bejaht (zit. Urteil, E. 4.2.6) und gleichzeitig zum Ausdruck gebracht, dass die Vorinstanz nicht damit rechnen kann, dass sie die Einsicht in die Amtshilfeersuchen aller MMoU-Signatarstaaten ohne entsprechende gesetzliche Grundlage allein mit einem generellen Hinweis auf das MMoU und die damit zusammenhängende abstrakte Gefahr für das wirtschaftliche Landeswohl verweigern kann.</w:t>
      </w:r>
    </w:p>
    <w:p>
      <w:r>
        <w:rPr>
          <w:b/>
        </w:rPr>
        <w:t>E. 5.1.2</w:t>
      </w:r>
    </w:p>
    <w:p>
      <w:r>
        <w:t>Der von der Vorinstanz für die wesentlichen öffentlichen Interessen an der Verweigerung der Einsichtnahme in das Amtshilfeersuchen angerufene Art. 11 Bst. a MMoU mit dem Titel "Confidentiality" bzw. "Confidentialité" hat - in den englischen und französischen Fassungen - folgenden Inhalt: "Each Authority will keep confidential requests made under this Memorandum of Understanding, the contents of such requests, and any matters arising under this Memorandum of Understanding, including consultations between or among Authorities, and unsolicited assistance. After consultation with the Requesting Authority, the Requested Authority may disclose the fact that the Requesting Authority has made the request if such disclosure is required to carry out the request", "Chaque Autorité préservera le caractère confidentiel des demandes présentées dans le cadre du présent Accord, leur contenu et tous les elements découlant du present Accord, y compris les consultations entre Autorités et l'assistance fournie spontanément. Après avoir consulté l'Autorité requérente, l'Autorité requise pourra divulguer le fait que l'Autorité réquérante a présenté une demande, si cette revelation est nécessaire pour mener à bien la requête". Es ist sehr zweifelhaft, ob diese Bestimmung so ausgelegt werden kann bzw. muss, dass die Vorinstanz unter keinen Umständen Einsicht in das Amtshilfeersuchen - sei dies auch nur unter Abdeckung von heiklen Stellen (vgl. oben Sachverhalt J.) - gewähren darf, ansonsten sie das fragliche Memorandum of Understanding verletzen würde. Der Wortlaut der Bestimmung des Memorandum of Understanding schliesst nicht von vorneherein aus, dass die Vorinstanz der betroffenen Partei nach Rücksprache mit der ersuchenden ausländischen Behörde die Einsicht in das Amtshilfeersuchen in einer Art. 27 VwVG genügenden Weise gewährt. Für diese Interpretation spricht Art. 6 Bst. a des MMoU ("General Principles regarding Mutual Assistance and the Exchange of Information"), der Folgendes festhält: "This Memorandum of Understanding sets forth the Authorities' intent with regard to mutual assistance and the exchange of information for the purpose of enforcing and securing compliance with the respective Laws and Regulations of the jurisdictions of the Authorities. The provisions of this Memorandum of Understanding are not intended to create legally binding obligations or supersede domestic laws". Vor allem der letzte Satz macht deutlich, dass insbesondere Art. 11 Bst. a des MMoU im Lichte des innerstaatlichen Rechts auszulegen ist. Eine mit den Art. 26 ff. VwVG vereinbare Auslegung der erwähnten Bestimmung des MMoU erscheint damit grundsätzlich möglich, womit, gegebenenfalls, die von der Vorinstanz vorgebrachten Gefahren bei einer Verletzung des MMoU zumindest unwahrscheinlich wären. Nicht zuletzt ist hier darauf hinzuweisen, dass eine spezialgesetzliche Regelung für die Einschränkung des Rechts auf Akteneinsicht vorliegend nicht besteht.</w:t>
      </w:r>
    </w:p>
    <w:p>
      <w:r>
        <w:rPr>
          <w:b/>
        </w:rPr>
        <w:t>E. 5.1.3</w:t>
      </w:r>
    </w:p>
    <w:p>
      <w:r>
        <w:t>Damit ergibt sich, dass die Vorinstanz eine Gefährdung der öffentlichen Interessen des Bundes durch die Gewährung der Einsicht in das Amtshilfeersuchen, allenfalls unter Abdeckung gewisser Stellen (vgl. oben Sachverhalt J.), nicht mit der erforderlichen Wahrscheinlichkeit plausibel gemacht hat. Mit der Berufung auf mehr oder weniger vage formulierte Gefahren für das wirtschaftliche Landeswohl kann das Akteneinsichtsrecht als Ausfluss des verfassungsmässigen Anspruchs auf rechtliches Gehör (Art. 29 Abs. 2 BV) nicht generell bzw. in Bezug auf gewisse (Gesuchs)Akten aus dem Kreis der Signatarstaaten des MMoU ausgeschlossen werden.</w:t>
      </w:r>
    </w:p>
    <w:p>
      <w:r>
        <w:rPr>
          <w:b/>
        </w:rPr>
        <w:t>E. 5.2</w:t>
      </w:r>
    </w:p>
    <w:p>
      <w:r>
        <w:t>Die Vorinstanz vermochte auch nicht darzulegen, dass und inwiefern das Interesse an der noch nicht abgeschlossenen Untersuchung der BaFin (vgl. Art. 27 Abs. 1 Bst. c VwVG) einer Einsicht in die Amtshilfeersuchen entgegenstehen würde, zumal der Beschwerdeführerin deren Inhalt bereits bekannt gemacht worden ist. Der Wortlaut des Amtshilfeersuchens vom 25. August 2010 wird in der angefochtenen Verfügung wörtlich wiedergegeben; die Vorinstanz hat lediglich wenige sprachliche Veränderungen vorgenommen, die rein kosmetischer, somit untergeordneter Natur sind. Es sind keine zusätzlichen oder weiterführenden Angaben bzw. Ausführungen darin enthalten, welche die Vorinstanz der Beschwerdeführerin vorenthalten hätte. Damit sich die Vorinstanz auf den Geheimhaltungsgrund nach Art. 27 Abs. 1 Bst. c VwVG mit Recht berufen könnte, müsste sie darlegen und mindestens glaubhaft machen, dass und weshalb die Einsichtnahme das laufende Verfahren gefährden oder jedenfalls wesentlich behindern würde.</w:t>
      </w:r>
    </w:p>
    <w:p>
      <w:r>
        <w:rPr>
          <w:b/>
        </w:rPr>
        <w:t>E. 6</w:t>
      </w:r>
    </w:p>
    <w:p>
      <w:r>
        <w:t>Zusammenfassend ergibt sich, dass die Vorinstanz der Beschwerdeführerin die Einsicht in das Amtshilfegesuch mit Berufung auf einen nicht gegebenen Grund (Art. 27 Abs. 1 Bst. c VwVG) bzw. mit einer unzureichenden Begründung (Art. 27 Abs. 1 Bst. a VwVG) verweigert hat. Da sich das Bundesverwaltungsgericht in Fällen wie vorliegend, in denen die Vorinstanz über ein besonderes Fachwissen verfügt, grosse Zurückhaltung auferlegt (vgl. Urteil des Bundesverwaltungsgerichts B-5469/2010 vom 7. Dezember 2010 E. 4.2.6), und nicht gänzlich auszuschliessen ist, dass die Vorinstanz Belege für ihre Auslegung von Art. 11 Bst. a MMoU wird vorlegen können, ist weder der Beschwerdeführerin die Akteneinsicht im Beschwerdeverfahren zu gewähren noch ist die Sache an die Vorinstanz zurückzuweisen, damit diese der Beschwerdeführerin Akteneinsicht gewährt. Vielmehr ist die angefochtene Verfügung aus formellen Gründen aufzuheben. Es steht der Vorinstanz somit frei, erneut, unter Beachtung der obenstehenden Erwägungen, zu verfügen. Damit erübrigt es sich, auf die materiellen Rügen einzugehen.</w:t>
      </w:r>
    </w:p>
    <w:p>
      <w:r>
        <w:rPr>
          <w:b/>
        </w:rPr>
        <w:t>E. 7</w:t>
      </w:r>
    </w:p>
    <w:p>
      <w:r>
        <w:t>Bei diesem Ausgang des Verfahrens sind keine Kosten zu erheben (Art. 63 Abs. 1 und 2 VwVG), und es ist der Beschwerdeführerin der am 17. November 2011 geleistete Kostenvorschuss von Fr. 3'000.- zurückzuerstatten. Der obsiegenden Beschwerdeführerin ist eine Parteientschädigung "für ihr erwachsene notwendige und verhältnismässig hohe Kosten" des Beschwerdeverfahrens zuzusprechen (Art. 64 Abs. 1 VwVG). Die Parteientschädigung ist aufgrund der eingereichten Kostennote festzusetzen. Ist wie im vorliegenden Fall keine Kostennote eingereicht worden, setzt das Gericht die Entschädigung aufgrund der Akten für die notwendigen erwachsenen Kosten fest (Art. 14 Abs. 2 Satz 2 i.V.m. Art. 7 Abs. 1 des Reglements vom 21. Februar 2008 über die Kosten und Entschädigungen vor dem Bundesverwaltungsgericht [VGKE, SR 173.320.2]). Angesichts des bloss teilweisen Obsiegens in einem formellen Punkt ist die Parteientschädigung auf Fr. 2'400.- festzusetzen. Besteht keine unterliegende Gegenpartei, ist die Parteientschädigung derjenigen Körperschaft oder autonomen Anstalt aufzuerlegen, in deren Namen die Vorinstanz verfügt hat (Art. 64 Abs. 2 VwVG). Nach Art. 4 Abs. 1 des Finanzmarktaufsichtsgesetzes vom 22. Juni 2007 (FINMAG, SR 956.1) handelt die Vorinstanz als autonome Anstalt mit eigener Rechtspersönlichkeit. Sie ist in eigenem Namen mit dem Vollzug des Finanzmarktaufsichtsrechts, namentlich der damit zusammenhängenden internationalen Aufgaben, beauftragt (Art. 6 FINMAG). Gestützt darauf erliess sie die angefochtene Verfügung in eigenem Namen und erhob auch in eigenem Namen die dafür vorgesehenen Verfahrenskosten. Die Vorinstanz ist deshalb zur Zahlung der Parteientschädigung zu verpflichten.</w:t>
      </w:r>
    </w:p>
    <w:p>
      <w:r>
        <w:rPr>
          <w:b/>
        </w:rPr>
        <w:t>E. 8</w:t>
      </w:r>
    </w:p>
    <w:p>
      <w:r>
        <w:t>Das vorliegende Urteil ist endgültig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