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B-6057/2011 vom 15. August 2012</w:t>
      </w:r>
    </w:p>
    <w:p>
      <w:r>
        <w:t>Bundesverwaltungsgericht, 2012-08-15, DE</w:t>
      </w:r>
    </w:p>
    <w:p>
      <w:r>
        <w:rPr>
          <w:b/>
        </w:rPr>
        <w:t xml:space="preserve">Quelle: </w:t>
      </w:r>
      <w:r>
        <w:t>https://mcp.opencaselaw.ch/entscheid/bvger_B-6057_2011</w:t>
      </w:r>
    </w:p>
    <w:p>
      <w:r>
        <w:t>FR: TAF B-6057/2011 du 15 août 2012</w:t>
      </w:r>
    </w:p>
    <w:p>
      <w:r>
        <w:t>IT: TAF B-6057/2011 del 15 agosto 2012</w:t>
      </w:r>
    </w:p>
    <w:p>
      <w:pPr>
        <w:pStyle w:val="Heading2"/>
      </w:pPr>
      <w:r>
        <w:t>Regeste</w:t>
      </w:r>
    </w:p>
    <w:p>
      <w:r>
        <w:t>Rentenanspruch</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sofern keine Ausnahme nach Art. 32 VGG vorliegt. Als Vorinstanzen gelten die in Art. 33 VGG genannten Behörden. Angefochten ist eine Verfügung der eidge­nössischen IV-Stelle für Versicherte im Ausland IVSTA (Vorinstanz). Die IVSTA ist eine Vorinstanz im Sinne von Art. 33 Bst. d VGG. Das Bundesverwaltungsge­richt ist somit zur Beurteilung der Beschwerde zuständig.</w:t>
      </w:r>
    </w:p>
    <w:p>
      <w:r>
        <w:rPr>
          <w:b/>
        </w:rPr>
        <w:t>E. 1.2</w:t>
      </w:r>
    </w:p>
    <w:p>
      <w:r>
        <w:t>Das Verfahren vor dem Bundesverwaltungsgericht richtet sich nach dem Verwaltungsverfahrensgesetz, soweit das Verwaltungsgerichtsgesetz nichts anderes bestimmt (Art. 37 VGG). Vorbe­halten bleiben gemäss Art. 3 Bst. dbis VwVG die besonderen Bestim­mungen des Bun­des­gesetzes über den Allgemeinen Teil des Sozial­versicherungsrechts (ATSG, SR 830.1).</w:t>
      </w:r>
    </w:p>
    <w:p>
      <w:r>
        <w:rPr>
          <w:b/>
        </w:rPr>
        <w:t>E. 1.3</w:t>
      </w:r>
    </w:p>
    <w:p>
      <w:r>
        <w:t>Als Adressatin der angefochtenen Verfügung ist die Beschwerdeführerin davon berührt und hat ein schutzwürdiges Interesse an deren Auf­hebung oder Än­derung (Art. 59 ATSG). Auf die frist- und formgerecht erhobene Beschwerde (vgl. Art. 60 ATSG, Art. 52 Abs. 1 VwVG) ist, nachdem auch der Kostenvorschuss rechtzeitig geleistet wurde, einzutreten.</w:t>
      </w:r>
    </w:p>
    <w:p>
      <w:r>
        <w:rPr>
          <w:b/>
        </w:rPr>
        <w:t>E. 2</w:t>
      </w:r>
    </w:p>
    <w:p>
      <w:r>
        <w:t>Zuerst sind die für die Beurteilung des Anspruchs massgebenden gesetzlichen Grundlagen und die von der Rechtsprechung entwickelten Grundsätze darzulegen.</w:t>
      </w:r>
    </w:p>
    <w:p>
      <w:r>
        <w:rPr>
          <w:b/>
        </w:rPr>
        <w:t>E. 2.1</w:t>
      </w:r>
    </w:p>
    <w:p>
      <w:r>
        <w:t>Nach der Rechtsprechung stellt das Sozialversicherungsgericht bei der Beurteilung einer Streitsache in der Regel auf den bis zum Zeitpunkt des Erlasses der streitigen Verwaltungsverfügung (hier: 28. September 2011) eingetretenen Sachverhalt ab (BGE 132 V 215 E. 3.1.1). Tatsachen, die jenen Sachverhalt seither verändert haben, sollen im Normalfall Gegenstand einer neuen Verwaltungsverfügung sein (BGE 121 V 362 E. 1b). Weiter sind in zeitlicher Hinsicht - vorbehältlich besonderer übergangsrecht­licher Regelungen - grundsätzlich diejenigen Rechtssätze massgebend, die bei der Erfüllung des rechtlich zu ordnenden oder zu Rechtsfolgen führenden Tatbestandes Geltung haben (Urteil des Bundesgerichts [BGer] 8C_419/2009 vom 3. November 2009 E. 3.1, BGE 132 V 215 E. 3.1.1). Vorliegend streitig und damit rechtlich zu überprüfen ist die korrekte Anwendung des Intertemporalrechts (siehe nachfolgend E. 4.). Bereits an dieser Stelle kann festgehalten werden, dass das erste Massnahmenpaket der 6. IV-Revision (IVG in der Fassung vom 18. März 2011, in Kraft seit dem 1. Januar 2012 [AS 2011 5659]) vorliegend noch keine Anwendung findet, da die angefochtene Verfügung vor dessen Inkrafttreten erging.</w:t>
      </w:r>
    </w:p>
    <w:p>
      <w:r>
        <w:rPr>
          <w:b/>
        </w:rPr>
        <w:t>E. 2.2</w:t>
      </w:r>
    </w:p>
    <w:p>
      <w:r>
        <w:t>J._______ selig war kroatischer Staatsangehöriger und damit Staatsangehöriger eines Mitgliedstaates der Europäischen Union, so dass vorliegend das am 1. Juni 2002 in Kraft getretene Abkommen vom 21. Juni 1999 zwischen der Schweizerischen Eidgenossenschaft einerseits und der Europäischen Gemeinschaft und ihren Mitgliedstaaten andererseits über die Freizügigkeit (FZA; SR 0.142.112.681), insbesondere dessen Anhang II betreffend die Koordinierung der Systeme der sozialen Sicherheit, anzuwenden ist (Art. 80a IVG). Nach Art. 3 Abs. 1 der Verordnung (EWG) Nr. 1408/71 des Rates vom 14. Juni 1971 zur Anwendung der Systeme der sozialen Sicherheit auf Arbeitnehmer und Selbständige sowie deren Familienangehörige, die innerhalb der Gemeinschaft zu- und abwandern, haben die in den persönlichen Anwendungsbereich der Verordnung fallenden, in einem Mitgliedstaat wohnenden Personen auf Grund der Rechtsvorschriften eines Mitgliedstaats grundsätzlich die gleichen Rechte und Pflichten wie die Staatsangehörigen dieses Staates. Soweit das FZA beziehungsweise die auf dieser Grundlage anwendbaren gemeinschaftsrechtlichen Rechtsakte keine abweichenden Bestimmungen vorsehen, richtet sich die Ausgestaltung des Verfahrens sowie die Prüfung der Anspruchsvoraussetzungen einer schweizerischen Invalidenrente grundsätzlich nach der innerstaatlichen Rechtsordnung (BGE 130 V 257 E. 2.4). Entsprechend bestimmt sich vorliegend der Anspruch der Beschwerdeführerin auf eine Rente der Invalidenversicherung ausschliesslich nach dem innerstaatlichen schweizerischen Recht, insbesondere nach dem IVG sowie der Verordnung über die Invalidenversicherung vom 17. Januar 1961 (IVV, SR 831.210).</w:t>
      </w:r>
    </w:p>
    <w:p>
      <w:r>
        <w:rPr>
          <w:b/>
        </w:rPr>
        <w:t>E. 2.3</w:t>
      </w:r>
    </w:p>
    <w:p>
      <w:r>
        <w:t>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der am 1. Januar 2008 in Kraft getretene Abs. 2 hat den Begriff der Erwerbsunfähigkeit nicht modifiziert, BGE 135 V 215 E. 7.3).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2.4</w:t>
      </w:r>
    </w:p>
    <w:p>
      <w:r>
        <w:t>Anspruch auf eine Invalidenrente haben gemäss Art. 28 Abs. 1 IVG (in der seit 1. Januar 2008 gültigen Fassung) Versicherte, die ihre Erwerbsfähigkeit oder die Fähigkeit, sich im Aufgabenbereich zu betätigen, nicht durch zumutbare Eingliederungsmassnahmen wieder herstellen, erhalten oder verbessern können (Bst. a), während eines Jahres ohne wesentlichen Unterbruch durchschnittlich mindestens 40 % arbeitsunfähig (Art. 6 ATSG) gewesen sind (Bst. b) und nach Ablauf dieses Jahres zu mindestens 40 % invalid (Art. 8 ATSG) sind (Bst. c). Nach der bis Ende Dezember 2007 in Kraft gestandenen Fassung des Art. 29 Abs. 1 IVG entsteht der Rentenanspruch frühestens in dem Zeitpunkt, in dem die versicherte Person mindestens zu 40 % bleibend erwerbsunfähig (Art. 7 ATSG) geworden ist (Bst. a) oder während eines Jahres ohne wesentlichen Unterbruch durchschnittlich mindestens zu 40 % arbeitsunfähig (Art. 6 ATSG) gewesen war (Bst. b). Der im Regelfall anwendbare Art. 29 Abs. 1 Bst. b IVG (vgl. BGE 119 V 98 E. 4a mit Hinweisen) setzt voraus, dass sowohl eine Arbeitsunfähigkeit als auch eine Erwerbsunfähigkeit in anspruchser­heblichem Umfang vorliegen (vgl. BGE 121 V 264 E. 6b/cc).</w:t>
      </w:r>
    </w:p>
    <w:p>
      <w:r>
        <w:rPr>
          <w:b/>
        </w:rPr>
        <w:t>E. 2.5</w:t>
      </w:r>
    </w:p>
    <w:p>
      <w:r>
        <w:t>Bei einem Invaliditätsgrad von mindestens 40 % besteht Anspruch auf eine Viertelsrente, bei mindestens 50 % auf eine halbe Rente, bei mindestens 60 % auf eine Dreiviertelsrente und bei mindestens 70 % auf eine ganze Rente (Art. 28 Abs. 2 IVG [in der seit dem 1. Januar 2008 gültigen Fassung], Art. 28 Abs. 1 IVG [in der ab 1. Januar 2004 bis 31. Dezember 2007 gültigen Fassung]). Beträgt der Invaliditätsgrad weniger als 50 %, so werden die entspre­chenden Renten nur an Versicherte ausbezahlt, die ihren Wohnsitz und ihren gewöhnlichen Aufenthalt (Art. 13 ATSG) in der Schweiz haben (Art. 29 Abs. 4 IVG [in der seit dem 1. Januar 2008 gültigen Fassung], Art. 28 Abs. 1ter IVG [in der ab 1. Januar 2003 bis 31. Dezember 2007 gültigen Fassung]).</w:t>
      </w:r>
    </w:p>
    <w:p>
      <w:r>
        <w:rPr>
          <w:b/>
        </w:rPr>
        <w:t>E. 2.6</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125 V 256 E. 4, BGE 115 V 133 E. 2; AHI-Praxis 2002 S. 62 E. 4b/cc). Hinsichtlich des Beweiswertes eines Arztberichtes ist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(BGE 125 V 351 E. 3a, BGE 122 V 157 E. 1c).</w:t>
      </w:r>
    </w:p>
    <w:p>
      <w:r>
        <w:rPr>
          <w:b/>
        </w:rPr>
        <w:t>E. 3</w:t>
      </w:r>
    </w:p>
    <w:p>
      <w:r>
        <w:t>Die Beschwerdeführerin sowie die Vorinstanz sind sich darin einig, dass J._______ selig vor seinem Tod eine Arbeitsunfähigkeit von 70 % aufwies, welche grundsätzlich Anspruch auf eine volle Invalidenrente gewährt (Art. 28 Abs. 2 IVG). Unbestritten ist ebenfalls das Vorliegen der weiteren Anspruchsvoraussetzungen gemäss Art. 28 Abs. 1 IVG. Die Vorinstanz stimmte schliesslich in ihrer Vernehmlassung vom 19. Januar 2012 der Beschwerdeführerin dahingehend zu, dass der kroatische Versicherungsträger vorschriftswidrig das Eingangsdatum der IV-Anmeldung von J._______ selig nicht festgehalten habe und es gerechtfertigt sei, davon auszugehen, die Anmeldung sei beim zuständigen Träger noch im Juli 2010 erfolgt (Akt. 7). Streitig verbleibt demgegenüber einerseits der Zeitpunkt des Eintritts der Invalidität bei J._______ selig sowie andererseits der Beginn des Rentenanspruchs. In Bezug auf den Invaliditätsbeginn hält die Beschwerdeführerin dafür, der Gesundheitsschaden sei bereits im Jahr 2006 eingetreten. Die Vorinstanz stellt sich hingegen auf den Standpunkt, vor Herbst 2008 habe noch keine relevante Arbeitsunfähigkeit bestanden. Intertemporal hält die Beschwerdeführerin Art. 29 aIVG, in Kraft seit dem 1. Januar 1988, und die Vorinstanz Art. 29 IVG, in Kraft seit dem 1. Januar 2008, für anwendbar. Zu prüfen ist damit im Nachfolgenden vorerst, ob vorliegend Art. 29 IVG vor oder nach der 5. IV-Revision zur Anwendung gelangt.</w:t>
      </w:r>
    </w:p>
    <w:p>
      <w:r>
        <w:rPr>
          <w:b/>
        </w:rPr>
        <w:t>E. 4</w:t>
      </w:r>
    </w:p>
    <w:p>
      <w:r>
        <w:t>Am 1. Januar 2008 sind im Rahmen der 5. IV-Revision Änderungen des IVG und anderer Erlasse wie des ATSG in Kraft getreten. Neu normiert wurde insbesondere der Zeitpunkt des Rentenbeginns, der - sofern die entsprechenden Anspruchsvoraussetzungen gegeben sind - gemäss Art. 29 Abs. 1 IVG (in der Fassung der 5. IV-Revision) frühestens sechs Monate nach der Geltendmachung des Leistungsanspruchs entsteht. Gemäss den intertemporalrechtlichen Grundsätzen ist der Leistungsanspruch für die Zeit bis zum 31. Dezember 2007 grundsätzlich auf Grund der bisherigen und ab diesem Zeitpunkt nach den neuen Normen zu prüfen. Trat der Versicherungsfall allerdings vor dem 1. Januar 2008 ein und wurde die Anmeldung bis spätestens am 31. Dezember 2008 eingereicht, so gilt das alte Recht (vgl. Urteil BGer 8C_419/2009 vom 3. November 2009 E. 3.2 f., Urteil BGer 8C_312/2009 vom 1. Dezember 2009 E. 5; Rundschreiben Nr. 253 des Bundesamtes für Sozialversicherungen [im Folgenden: BSV] vom 12. Dezember 2007 [5. IV-Revision und Intertemporalrecht]).</w:t>
      </w:r>
    </w:p>
    <w:p>
      <w:r>
        <w:rPr>
          <w:b/>
        </w:rPr>
        <w:t>E. 4.1</w:t>
      </w:r>
    </w:p>
    <w:p>
      <w:r>
        <w:t>Dem obgenannten Rundschreiben des BSV ist zu entnehmen, es sei das Ziel der neuen Regelung, dass sich die versicherten Personen möglichst rasch bei der IV-Stelle anmelden, um die Erfolgschancen der Eingliederung zu maximieren. Diese Änderung gegenüber der früheren Praxis brauche jedoch eine gewisse Übergangszeit, weshalb die Regelung, wonach die Rente erst 6 Monate nach der Anmeldung ausbezahlt wird, für alle Fälle nicht anwendbar sei, in denen das Wartejahr vor dem 1. Januar 2008 zu laufen begann und im Jahr 2008 erfüllt wurde. In diesen Fällen reiche es aus, wenn die Anmeldung spätestens am 31. Dezember 2008 eingereicht werde, dass die Rente abweichend von Art. 29 Abs. 1 IVG (in Kraft ab dem 1. Januar 2008) bezahlt werden könne.</w:t>
      </w:r>
    </w:p>
    <w:p>
      <w:r>
        <w:rPr>
          <w:b/>
        </w:rPr>
        <w:t>E. 4.2</w:t>
      </w:r>
    </w:p>
    <w:p>
      <w:r>
        <w:t>E contrario steht damit fest, dass bei einer Anmeldung nach dem 31. Dezember 2008 ungeachtet des Zeitpunkts des Eintritts der Invalidität Art. 29 IVG (in Kraft ab dem 1. Januar 2008) zur Anwendung gelangt.</w:t>
      </w:r>
    </w:p>
    <w:p>
      <w:r>
        <w:rPr>
          <w:b/>
        </w:rPr>
        <w:t>E. 4.3</w:t>
      </w:r>
    </w:p>
    <w:p>
      <w:r>
        <w:t>Vorliegend gehen beide Parteien davon aus, dass die Anmeldung zum Leistungsbezug durch J._______ selig bereits im Juli 2010 erfolgt ist. Damit hat sich J._______ selig erst nach Ablauf der intertemporalen Übergangsfrist vom 31. Dezember 2008 bei der Vorinstanz angemeldet. Massgebend und anzuwenden ist folglich das Recht im Zeitpunkt der Anmeldung, insbesondere Art. 29 Abs. 1 IVG nach der 5. IV-Revision. Folgerichtig hat damit die Vorinstanz für die Festsetzung des Leistungsbeginns eine Wartefrist von einem halben Jahr im Sinne von Art. 29 Abs. 1 IVG berücksichtigt.</w:t>
      </w:r>
    </w:p>
    <w:p>
      <w:r>
        <w:rPr>
          <w:b/>
        </w:rPr>
        <w:t>E. 5</w:t>
      </w:r>
    </w:p>
    <w:p>
      <w:r>
        <w:t>Damit erübrigt es sich vorliegend, den Zeitpunkt des Eintritts der Arbeitsunfähigkeit bei J._______ selig abschliessend zu prüfen. Auf Grund der Akten steht zumindest fest, dass der Gesundheitsschaden im Zeitpunkt der Anmeldung bereits seit über einem Jahr bestand, womit die Leistungsvoraussetzung im Sinne von Art. 28 Abs. 1 Bst. b IVG (in Kraft ab dem 1. Januar 2008) erfüllt ist. Unter diesen Umständen ist von der Einholung weiterer fachmedizinischer Abklärungen abzusehen. Auf die beantragte Beweismassnahme ist zu verzichten.</w:t>
      </w:r>
    </w:p>
    <w:p>
      <w:r>
        <w:rPr>
          <w:b/>
        </w:rPr>
        <w:t>E. 6</w:t>
      </w:r>
    </w:p>
    <w:p>
      <w:r>
        <w:t>Nachdem von einer Anmeldung per Anfang Juli 2010 auszugehen ist, konnte gestützt auf Art. 29 Abs. 1 IVG ein Rentenanspruch frühestens nach Ablauf von sechs Monaten und damit ab Januar 2011 entstehen. Gemäss Art. 30 IVG endet der Leistungsanspruch mit dem Tod des Versicherten. Damit entstand in der Person von J._______ selig für die Zeit von Januar bis April 2011 der Anspruch auf eine ganze Invalidenrente. Diese Rente steht nach dem Vorversterben von J._______ selig der Beschwerdeführerin als Alleinerbin zu. Die Beschwerde ist damit teilweise gutzuheissen und es sind die Akten zur Berechnung und Festsetzung der Rente an die Vorinstanz zurückzusenden. Soweit weitergehend (Rentenzusprache bereits ab dem 1. Januar 2007) ist die Beschwerde abzuweisen.</w:t>
      </w:r>
    </w:p>
    <w:p>
      <w:r>
        <w:rPr>
          <w:b/>
        </w:rPr>
        <w:t>E. 7.1</w:t>
      </w:r>
    </w:p>
    <w:p>
      <w:r>
        <w:t>Die Beschwerdeführerin hat die Ausrichtung einer Invalidenrente für die Zeit vom 1. Januar 2007 bis zum 23. April 2011 beantragt. Mit dem vorliegenden Urteil wird ihr eine Invalidenrente für die Dauer vom 1. Januar bis 30. April 2011 zugesprochen. Damit gilt die Beschwerdeführerin als mehrheitlich unterliegende Partei und hat unter diesen Umständen die anteilsmässig ermässigten Verfahrenskosten zu tragen, die sich aus der Gerichtsgebühr und den Auslagen zusammensetzen (vgl. Art. 63 Abs. 1 VwVG). Sie werden unter Berücksichtigung des Umfanges und der Schwierigkeit der Streitsache sowie des teilweisen Obsiegens der Beschwerdeführerin auf Fr. 350.-- festgesetzt (Art. 63 Abs. 4bis i.V.m. Abs. 1 VwVG sowie Art. 1, 2 und 4 des Reglements vom 21. Februar 2008 über die Kosten und Entschädigungen vor dem Bundesverwaltungsgericht [VGKE, SR 173.320.2]) und mit dem bereits geleisteten Kostenvorschuss in der Höhe von Fr. 400.-- verrechnet. Der zuviel bezahlte Kostenvorschuss von Fr. 50.-- wird der Beschwerdeführerin nach Eintritt der Rechtskraft des vorliegenden Urteils zurückerstattet. Der Vorinstanz werden keine Verfahrenskosten auferlegt (Art. 63 Abs. 2 VwVG).</w:t>
      </w:r>
    </w:p>
    <w:p>
      <w:r>
        <w:rPr>
          <w:b/>
        </w:rPr>
        <w:t>E. 7.2</w:t>
      </w:r>
    </w:p>
    <w:p>
      <w:r>
        <w:t>Die mehrheitlich unterliegende, juristisch vertretene Beschwerdeführerin hat gemäss Art. 64 Abs. 1 VwVG in Verbindung mit Art. 7 ff. VGKE Anspruch auf eine reduzierte Parteientschädigung zu Lasten der Verwaltung. Ihr Vertreter hat mit der Beschwerdeschrift vom 10. Dezember 2011 eine Prozessentschädigung von Fr. 2'500.--, zusammensetzend aus 10 Std. à Fr. 250.-- (für Aktenstudium, Besprechungen mit der Beschwerdeführerin, Erstellung der Rechtsschrift etc.), geltend gemacht. Da er dem Bundesverwaltungsgericht keine detaillierte Honorarnote eingereicht hat (vgl. Art. 14 Abs. 1 VGKE), ist die reduzierte Parteientschädigung nach Ermessen und unter Berücksichtigung des gebotenen und aktenkundigen Aufwands auf Fr. 300.-- (inklusive Auslagen) festzusetzen (vgl. Art. 14 Abs. 2 VGKE). Nicht zu entschädigen ist die Mehrwertsteuer (Art. 1 Abs. 2 i.V.m. Art. 8 Abs. 1 und Art. 18 Abs. 1 des Mehrwertsteuergesetzes vom 12. Juni 2009; MWSTG SR 641.20). Die mehrheitlich obsiegende Vorinstanz hat nach Art. 7 Abs. 3 VGKE keinen Anspruch auf eine Parteientschädigung.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