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B-600/2016 vom 11. Oktober 2016</w:t>
      </w:r>
    </w:p>
    <w:p>
      <w:r>
        <w:t>Bundesverwaltungsgericht, 2016-10-11, DE</w:t>
      </w:r>
    </w:p>
    <w:p>
      <w:r>
        <w:rPr>
          <w:b/>
        </w:rPr>
        <w:t xml:space="preserve">Quelle: </w:t>
      </w:r>
      <w:r>
        <w:t>https://mcp.opencaselaw.ch/entscheid/bvger_B-600_2016</w:t>
      </w:r>
    </w:p>
    <w:p>
      <w:r>
        <w:t>FR: TAF B-600/2016 du 11 octobre 2016</w:t>
      </w:r>
    </w:p>
    <w:p>
      <w:r>
        <w:t>IT: TAF B-600/2016 del 11 ottobre 2016</w:t>
      </w:r>
    </w:p>
    <w:p>
      <w:pPr>
        <w:pStyle w:val="Heading2"/>
      </w:pPr>
      <w:r>
        <w:t>Regeste</w:t>
      </w:r>
    </w:p>
    <w:p>
      <w:r>
        <w:t>Verwaltungsmassnahmen</w:t>
      </w:r>
    </w:p>
    <w:p>
      <w:pPr>
        <w:pStyle w:val="Heading2"/>
      </w:pPr>
      <w:r>
        <w:t>Erwägungen</w:t>
      </w:r>
    </w:p>
    <w:p>
      <w:r>
        <w:rPr>
          <w:b/>
        </w:rPr>
        <w:t>E. 1.1</w:t>
      </w:r>
    </w:p>
    <w:p>
      <w:r>
        <w:t>Der angefochtene Akt der Vorinstanz vom 30. Dezember 2015 unterliegt als Verfügung i.S.v. Art. 5 Abs. 1 VwVG der Beschwerde ans Bundesverwaltungsgericht (Art. 44 VwVG i.V.m. Art. 31, Art. 33 Bst. d und Art. 37 des Verwaltungsgerichtsgesetzes vom 17. Juni 2005 [VGG, SR 173.32] i.V.m. Art. 166 Abs. 2 LwG, zitiert in E. 2), zumal keine Ausnahme nach Art. 32 VGG greift.</w:t>
      </w:r>
    </w:p>
    <w:p>
      <w:r>
        <w:rPr>
          <w:b/>
        </w:rPr>
        <w:t>E. 1.2</w:t>
      </w:r>
    </w:p>
    <w:p>
      <w:r>
        <w:t>Die Beschwerdeführerin ist als materielle Adressatin der angefochtenen Verfügung durch diese besonders berührt und hat ein schutzwürdiges Interesse an deren Aufhebung oder Änderung (Art. 48 Abs. 1 Bst. a bis c VwVG). Die Anforderungen an die Beschwerdefrist (Art. 50 Abs. 1 VwVG) sowie an Form und Inhalt der Beschwerdeschrift sind grundsätzlich gewahrt (Art. 52 Abs. 1 VwVG). Der Kostenvorschuss wurde fristgemäss bezahlt (Art. 63 Abs. 4 VwVG) und die übrigen Sachurteilsvoraussetzungen liegen vor (vgl. Art. 46 ff. VwVG). Auf die Beschwerde ist damit einzutreten.</w:t>
      </w:r>
    </w:p>
    <w:p>
      <w:r>
        <w:rPr>
          <w:b/>
        </w:rPr>
        <w:t>E. 2</w:t>
      </w:r>
    </w:p>
    <w:p>
      <w:r>
        <w:t>Das Landwirtschaftsgesetz vom 29. April 1998 (LwG, SR 910.1, in der hier massgebenden Fassung vom 1. Januar 2015) legt innerhalb der welthandelsrechtlichen Verpflichtungen die Rahmenbedingungen für die Produktion und den Absatz landwirtschaftlicher Erzeugnisse fest (Art. 7 ff. und Art. 21 LwG betreffend Zollkontingente). Die Landwirtschaftsgesetzgebung wird diesbezüglich in der - unter anderem gestützt auf Art. 21 Abs. 2 sowie Art. 177 LwG - vom Bundesrat erlassenen Agrareinfuhrverordnung vom 26. Oktober 2011 (AEV, SR 916.01 in der hier massgebenden Fassung vom 1. Dezember 2015, AS 2011 5325, 2012 3437, 2013 3931, 2014 4001, 2014 979, 2015 1759, 2015 323, 2015 4545, 2015 4547) konkretisiert. Danach bedarf die Einfuhr der in Anhang 1 zu dieser Verordnung aufgeführten landwirtschaftlichen Erzeugnisse einer Generaleinfuhrbewilligung (Art. 1 Abs. 1 AEV). Die Zollkontingente, die Teilzollkontingente und die Richtmengen sind in Anhang 3 der Verordnung festgelegt (Art. 10 AEV). Als Inlandleistung gilt die Übernahme von inländischen landwirtschaftlichen Erzeugnissen handelsüblicher Qualität während eines festgelegten Zeitraums (Bemessungsperiode). Die Erzeugnisse sind im 4. Kapitel oder in den marktordnungsspezifischen Produkteverordnungen festgelegt (Art. 21 Abs. 1 AEV). Das Teilzollkontingent Nr. 14.1 (Kartoffeln) wird gemäss Art. 37 Abs. 1 AEV in die Warenkategorien Saatkartoffeln (Bst. a), Speisekartoffeln (Bst. b) und Veredelungskartoffeln (Bst. c) aufgeteilt. Anteile am Teilzollkontingent Kartoffeln werden nach der Inlandleistung der einzelnen Organisation bzw. des einzelnen Betriebs im Verhältnis zu den gesamten rechtmässig geltend gemachten Inlandleistungen in Prozenten zugeteilt (Art. 40 Abs. 1 AEV). Das Bundesamt teilt nur Personen einen Kontingentsanteil am Teilzollkontingent Kartoffeln zu, wenn ihre Inlandleistung mehr als 100 Tonnen beträgt (Art. 40 Abs. 2 AEV). Kontingentsperiode bildet das Kalenderjahr (Art. 11 AEV). Als Bemessungsperiode gilt der Zeitraum zwischen dem 18. Monat (Juli) und dem 7. Monat (Juni) vor der betreffenden Kontingentsperiode (Art. 41 Abs. 2 AEV). Die Gesuche um Anteile am Teilzollkontingent Kartoffeln müssen bis spätestens am 30. September vor Beginn der Kontingentsperiode eintreffen (Art. 42 AEV). Die geltend gemachte Inlandleistung muss nachweisbar sein (Art. 41 Abs. 3 AEV).</w:t>
      </w:r>
    </w:p>
    <w:p>
      <w:r>
        <w:rPr>
          <w:b/>
        </w:rPr>
        <w:t>E. 3</w:t>
      </w:r>
    </w:p>
    <w:p>
      <w:r>
        <w:t>Die Beschwerdeführerin beruft sich in ihrer Eingabe einerseits auf den Grundsatz des Vertrauensschutzes, andererseits hält sie der Vorinstanz eine fehlerhafte bzw. falsche Auslegung des anwendbaren Rechts, insbesondere von Art. 41 Abs. 1 Bst. b AEV, vor. Die Gesetzes- und Verfassungsmässigkeit von Art. 41 Abs. 1 Bst. b AEV wird von ihr indessen zu Recht nicht in Frage gestellt.</w:t>
      </w:r>
    </w:p>
    <w:p>
      <w:r>
        <w:rPr>
          <w:b/>
        </w:rPr>
        <w:t>E. 3.1</w:t>
      </w:r>
    </w:p>
    <w:p>
      <w:r>
        <w:t>In der angefochtenen Verfügung hat die Vorinstanz von der Inlandleistung der Beschwerdeführerin folgende Lieferungen an den Grosshandel (insgesamt 2'050'044 kg) abgezogen: (...) 27'160 kg (...) 30'900 kg (...) 613'028 kg (...) 19'590 kg (...) 9'000 kg (...) 23'000 kg C._______ 407'289 kg D._______ 206'471 kg E._______ 48'110 kg F._______ 29'180 kg (...) 559'386 kg (...) 13'020 kg (...) 63'910 kg Die Beschwerdeführerin bezieht sich in ihrer Beschwerde denn auch ausdrücklich auf die "Menge von 2'050 Tonnen Kartoffeln" (vgl. Beschwerde vom 29. Januar 2016, S. 3). Auf die weitere, gemäss der angefochtenen Verfügung vom Abpackbetrieb B._______ übernommene und daher ebenfalls nicht als Inlandleistung anerkannte Menge von 16'252 kg geht sie demgegenüber in ihrer Rechtschrift mit keinem Wort ein. Mangels genügender Substantiierung ist auf die Beschwerde daher von vornherein insoweit nicht einzugehen, als sie sich auf diese Menge bezieht. Ob die Beschwerdeführerin durch ihr Schweigen die soeben erwähnte Menge bzw. den diese betreffenden Abzug von 16'252 kg damit stillschweigend anerkennt, kann offen bleiben.</w:t>
      </w:r>
    </w:p>
    <w:p>
      <w:r>
        <w:rPr>
          <w:b/>
        </w:rPr>
        <w:t>E. 3.2</w:t>
      </w:r>
    </w:p>
    <w:p>
      <w:r>
        <w:t>Im Rahmen der Auslegung gelten für die Normen des Verwaltungsrechts die üblichen Methoden der Gesetzesauslegung. Zur Anwendung gelangen somit die grammatikalische, historische, zeitgemässe, systematische und teleologische Auslegungsmethode. Zwar wird heute von Lehre und Rechtsprechung auch im Verwaltungsrecht der Methodenpluralismus bejaht, der keiner Auslegungsmethode einen grundsätzlichen Vorrang zuerkennt, doch steht gemäss der bundesgerichtlichen Praxis auf dem Gebiet des Verwaltungsrechts die teleologische Auslegungsmethode im Vordergrund, wobei Ausgangspunkt jeder Auslegung der Wortlaut der Bestimmung bildet. An einen klaren und unzweideutigen Gesetzeswortlaut ist die rechtsanwendende Behörde gebunden, sofern dieser den wirklichen Sinn der Norm wiedergibt (vgl. BGE 141 V 197 E. 5.2, 141 V 221 E. 5.2.1; ULRICH HÄFELIN/GEORG MÜLLER/FELIX UHLMANN, Allgemeines Verwaltungsrecht, 7. Aufl. 2016, Rz. 177 ff., m.w.H.). Nach dem klaren Wortlaut von Art. 41 Abs. 1 Bst. b AEV gilt bei Speisekartoffeln als Inlandleistung "die Menge der konsumfertig abgepackten inländischen Speisekartoffeln, die die Abpackbetriebe während der Bemessungsperiode an den Detailhandel geliefert haben". Dass dieser eindeutige Wortlaut, der einzig Lieferungen an den Detailhandel berücksichtigt und somit implizit solche an den Grosshandel für die Berechnung der Inlandleistung ausschliesst, den wirklichen Sinn der Norm nicht wiedergäbe, ist nicht ersichtlich. Der Bundesrat hat nach der Botschaft vom 26. Juni 1996 zur Reform der Agrarpolitik, Zweite Etappe (Agrarpolitik 2002), Neues Landwirtschaftsgesetz (BBl 1996 IV 1 ff., 119, nachfolgend Botschaft) dafür zu sorgen, dass die gleiche Inlandware nicht missbräuchlich, in Umgehung des gesetzgeberischen Willens auf den verschiedenen Vermarktungsstufen mehrmals als Inlandleistung angerechnet wird (vgl. auch Urteil des BVGer A 2206/2007 vom 24. November 2008 E. 2.3.4). In derselben Botschaft wird mit Bezug auf Inlandleistung bei Schlachtvieh und Fleisch zudem festgehalten, dass es bei der Festlegung von Leistungskriterien nicht allein darum gehe, nur echte Leistungen zu berücksichtigen. Die zu erbringenden Leistungen müssten insbesondere auch quantifizierbar, erfassbar und kontrollierbar sein, wobei die Wahl der Kriterien so getroffen werden sollte, dass Missbräuche weitgehend ausgeschaltet werden können (vgl. Botschaft, BBl 1996 IV 160). Der Schluss nur Leistungen an den Detailhandel bzw. - wie hier zur Diskussion stehend - nur direkte Leistungen in den HOREKA-Kanal und keine Leistungen an bzw. über den Grosshandel als Inlandleistung anzuerkennen, ist mit diesen Zielsetzungen ohne Weiteres vereinbar; ungeachtet dessen, dass der Wortlaut der Bestimmung von Art. 41 Abs. 1 Bst. b AEV - anders als derjenige von Art. 41 Abs. 1 Bst. a - diese Unterscheidung nicht explizit vorsieht.</w:t>
      </w:r>
    </w:p>
    <w:p>
      <w:r>
        <w:rPr>
          <w:b/>
        </w:rPr>
        <w:t>E. 3.3</w:t>
      </w:r>
    </w:p>
    <w:p>
      <w:r>
        <w:t>Es ist somit nicht zu beanstanden, dass die Vorinstanz die Lieferungen der Beschwerdeführerin an die (Namen der Unternehmen), C._______, D._______, E._______, F._______, die (Namen der Unternehmen) nicht als Inlandleistung im Sinne von Art. 41 Abs. 1 Bst. b AEV anerkannt hat. Entscheidend ist einzig, dass die Beschwerdeführerin, die sowohl gemäss Art. 41 Abs. 3 AEV als auch nach der allgemeinen Beweislastregel von Art. 8 ZGB beweispflichtig wäre, nicht geltend macht - und auch sonst nichts vorliegt, aus dem sich schliessen liesse -, dass diese 13 von ihr belieferten Unternehmen im Detailhandel tätig wären. Dass es sich bei der C._______, dem D._______, dem Unternehmen E._______ und der F._______ gemäss der Beschwerdeführerin um "interne Verteilplattformen" der A._______-Gruppe handelt, die als "firmeninterne" Vertriebsstrukturen, den unmittelbaren und gebündelten Vertrieb ihrer Produkte an die HOREKA-Betriebe sicherstellten bzw. dass es sich bei diesen Betrieben um Mitglieder des Genossenschaftsverbandes A._______ (ein Genossenschaftsverband i.S. v. Art. 921 ff. OR mit Sitz in Z._______, vgl. Art. 1 der Statuten der A._______) handelt, vermag daran nichts zu ändern.</w:t>
      </w:r>
    </w:p>
    <w:p>
      <w:r>
        <w:rPr>
          <w:b/>
        </w:rPr>
        <w:t>E. 4</w:t>
      </w:r>
    </w:p>
    <w:p>
      <w:r>
        <w:t>Die Beschwerdeführerin beruft sich im Zusammenhang mit der aus ihrer Sicht im Jahr 2016 erstmals vorgenommenen Unterscheidung zwischen der direkten bzw. indirekten Lieferung in den HOREKA-Kanal - insbesondere mit Blick auf die Schreiben der Vorinstanz vom 26. Juni 2014 und 24. April 2015 - auf den in Art. 9 BV verankerten Grundsatz von Treu und Glauben bzw. auf den darauf gestützten Anspruch auf Schutz berechtigten Vertrauens in staatliches Verhalten. Dass die Beschwerdeführerin im Vertrauen auf ein bestimmtes Verhalten der Vorinstanz nachteilige Dispositionen getroffen hätte, ist nicht erkennbar und wird von ihr im vorliegenden Verfahren auch nicht geltend gemacht. Allfällige auf Treu und Glauben gestützte Ansprüche der Beschwerdeführerin könnten bereits aus diesem Grund nicht anerkannt werden (vgl. BGE 141 I 161 E. 3.1.). Ein Anspruch auf Schutz des berechtigten Vertrauens in behördliche Zusicherungen oder sonstiges, bestimmte Erwartungen begründendes Verhalten der Behörde, bestünde im Übrigen nur dann, wenn das behördliche Verhalten sich auf eine konkrete, die betreffende Person berührende Angelegenheit bezöge, die Behörde, welche gehandelt hat, hierfür zuständig wäre oder der Rechtsuchende sie aus zureichenden Gründen als zuständig hätte betrachten dürfen und die Unrichtigkeit nicht ohne weiteres hätte erkennen können (vgl. BGE 141 I 161 E. 3.1). Auch diese Voraussetzungen sind im vorliegenden Fall nicht erfüllt: Dass Lieferungen an die vorliegend in Frage stehenden 13 Unternehmen in früheren Jahren als Inlandleistung anerkannt worden wären, wird von der Beschwerdeführerin nicht nachgewiesen. Dies ist jedoch insofern ohne Belang, als ein Zuteilungsentscheid grundsätzlich nur für die betreffende Kontingentsperiode Gültigkeit hat, die Behörde somit im Hinblick auf nachfolgende Kontingentsperioden nicht zu binden vermag. Was den "Serienbrief an die Importeure von Speisekartoffeln" vom 26. Juni 2014 betrifft, auf den sich die Beschwerdeführerin beruft, ist festzuhalten, dass sich dieser weder individuell an sie richtet, noch die hier zu beurteilende Kontingentsperiode betrifft. Damit kann dieses Schreiben wesensgemäss keine Zusicherung mit Bezug auf die Inlandleistung der Beschwerdeführerin für die Kontingentsperiode 2016 enthalten. Das Schreiben vom 24. April 2015 betrifft demgegenüber zwar die Inlandleistung für die Kontingentsperiode 2016, ist jedoch wiederum sehr allgemein gehalten; zu der Frage ob eine bestimmte Lieferung die Voraussetzungen für die Inlandleistung erfüllt, wird keine Aussage gemacht. Etwas anderes lässt sich auch aus dem Schreiben vom 19. August 2015 nicht ableiten; enthält doch auch dieses keine Angaben, aus denen sich eine Vertrauensgrundlage ergeben könnte. Die Vorinstanz führt in ihrer Vernehmlassung vom 11. März 2016 denn auch aus, auch im Vorjahr seien Lieferungen an den Grosshandel nicht berücksichtigt worden, sofern sie als solche erkennbar gewesen seien. Sie habe solche Lieferungen anlässlich von Kontrollen nie als Inlandleistungen anerkannt und immer in Abzug gebracht. Auch "indirekte" Lieferungen an den HOREKA-Kanal, also solche, die über einen Zwischenhandel dorthin gelangten, habe das Bundesamt nie berücksichtigt, da es sich dabei um nichts anderes als um Lieferungen an den Grosshandel handle. Bei seinen Kontrollen habe das Amt - offenbar im Gegensatz zu swisspatat - diejenigen Lieferungen an den Grosshandel und an den HOREKA-Kanal, die es als solche erkannt habe, abgezogen. Auf Grund der klaren Rechtslage sei das Bundesamt immer davon ausgegangen, dass auch swisspatat Lieferungen an den Grosshandel und an den HOREKA-Kanal abziehe. Die Beschwerdeführerin macht nicht substantiiert geltend, dass diese Ausführungen nicht zuträfen, sie hat auch nichts ins Recht gelegt, dass diese Ausführungen widerlegen würde. Die Vorinstanz hat somit in glaubwürdiger Weise dargelegt, dass sie zwar die Kontrollen der Meldungen verschärft hat, was wesensgemäss dazu führt, dass zu Unrecht als Inlandleistung gemeldete Lieferungen der Abpackbetriebe vermehrt erkannt werden. Dass sie zuvor bewusst eine gesetzwidrige Praxis ausgeübt oder geduldet und dadurch eine Grundlage für aus dem Vertrauensschutz fliessende Ansprüche geschaffen hätte, kann aber auch daraus nicht geschlossen werden.</w:t>
      </w:r>
    </w:p>
    <w:p>
      <w:r>
        <w:rPr>
          <w:b/>
        </w:rPr>
        <w:t>E. 5</w:t>
      </w:r>
    </w:p>
    <w:p>
      <w:r>
        <w:t>Wie ausgeführt, stellen die Lieferungen der Beschwerdeführerin im Umfang von insgesamt 2'050'044 kg an die 13 in act. 11a Vorakten aufgelisteten Unternehmen und die von der B._______ übernommene Menge von 16'252 kg entgegen deren Meldung keine Inlandleistung i.S.v. Art. 41 Abs. 1 Bst. b AEV dar. Die Vorinstanz geht somit zu Recht davon aus, dass mit der unzulässigen Meldung eine Widerhandlung gegen die AEV vorliegt. Die von der Beschwerdeführerin vorgebrachte generelle Kritik am Vorgehen der Vorinstanz vermag daran nichts zu ändern. Das LwG sieht bei Widerhandlungen gegen dessen Ausführungsbestimmungen oder die gestützt darauf erlassenen Verfügungen verschiedene Verwaltungsmassnahmen vor: Verwarnung; Entzug von Anerkennungen, Bewilligungen, Kontingenten und dergleichen; Ausschluss von Berechtigungen; Ausschluss von der Direktvermarktung; Ablieferungs- , Annahme- und Verwertungssperre; Ersatzvornahme auf Kosten der die Bestimmungen und Verfügungen verletzenden Person sowie der mit Aufgaben betrauten Organisation; die Beschlagnahme sowie die Belastung mit einem Betrag bis höchstens Fr. 10'000.- (Art. 169 Abs. 1 Bst. a bis h LwG). Die von der Vorinstanz gegen die Beschwerdeführerin mit der angefochtenen Verfügung ausgesprochene - in Art. 169 Abs. 1 Bst. a LwG als mildestes Mittel vorgesehene - Verwarnung erscheint unter diesen Umständen als verhältnismässig und ist nicht zu beanstanden.</w:t>
      </w:r>
    </w:p>
    <w:p>
      <w:r>
        <w:rPr>
          <w:b/>
        </w:rPr>
        <w:t>E. 6</w:t>
      </w:r>
    </w:p>
    <w:p>
      <w:r>
        <w:t>Die Beschwerde erweist sich damit als unbegründet. Sie ist daher - soweit darauf einzutreten ist - abzuweisen.</w:t>
      </w:r>
    </w:p>
    <w:p>
      <w:r>
        <w:rPr>
          <w:b/>
        </w:rPr>
        <w:t>E. 7</w:t>
      </w:r>
    </w:p>
    <w:p>
      <w:r>
        <w:t>Entsprechend dem Ausgang des Verfahrens sind die in der Höhe von Fr. 1'000.- der unterliegenden Beschwerdeführerin aufzuerlegen (Art. 63 Abs. 1 VwVG sowie Art. 1 ff. des Reglements vom 21. Februar 2008 über die Kosten und Entschädigungen vor dem Bundesverwaltungsgericht [VGKE, SR 173.320.2]). Dieser Betrag ist dem von der Beschwerdeführerin geleisteten Kostenvorschuss in der Höhe von Fr. 1'000.- zu entnehmen.</w:t>
      </w:r>
    </w:p>
    <w:p>
      <w:r>
        <w:rPr>
          <w:b/>
        </w:rPr>
        <w:t>E. 8</w:t>
      </w:r>
    </w:p>
    <w:p>
      <w:r>
        <w:t>Der unterliegenden Beschwerdeführerin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