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B-5983/2019 vom 16. Dezember 2019</w:t>
      </w:r>
    </w:p>
    <w:p>
      <w:r>
        <w:t>Bundesverwaltungsgericht, 2019-12-16, DE</w:t>
      </w:r>
    </w:p>
    <w:p>
      <w:r>
        <w:rPr>
          <w:b/>
        </w:rPr>
        <w:t xml:space="preserve">Quelle: </w:t>
      </w:r>
      <w:r>
        <w:t>https://mcp.opencaselaw.ch/entscheid/bvger_B-5983_2019</w:t>
      </w:r>
    </w:p>
    <w:p>
      <w:r>
        <w:t>FR: TAF B-5983/2019 du 16 décembre 2019</w:t>
      </w:r>
    </w:p>
    <w:p>
      <w:r>
        <w:t>IT: TAF B-5983/2019 del 16 dicembre 2019</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Die Beschwerdeführerin ficht vorliegend die am 22. Oktober 2019 publizierte Zuschlagsverfügung vom 17. Oktober 2019 wie auch den damit verbundenen Ausschluss an und bezieht sich bei der Anfechtung der Ausschlussverfügung auf das Schreiben vom 22. Oktober 2019. Mit diesem Schreiben machte die Vergabestelle die Beschwerdeführerin auf die Veröffentlichung des Zuschlags auf der Internetplattform SIMAP aufmerksam und verwies für die Rechtsmittelbelehrung auf die elektronische Publikation. Folglich lässt sich das genannte Schreiben nicht als Verfügung, sondern als Orientierungsschreiben der Vergabestelle qualifizieren (vgl. dazu in Bezug auf den Fristenlauf Peter Galli/André Moser/Elisabeth Lang/Marc Steiner, Praxis des öffentlichen Beschaffungsrechts, 3. Aufl., Zürich 2013, Rz. 1271). Anfechtungsobjekt des vorliegenden Verfahrens ist demnach die publizierte Zuschlagsverfügung vom 17. Oktober 2019 mit implizitem Ausschluss des beschwerdeführerischen Angebots.</w:t>
      </w:r>
    </w:p>
    <w:p>
      <w:r>
        <w:rPr>
          <w:b/>
        </w:rPr>
        <w:t>E. 1.3</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GALLI/MOSER/LANG/ STEINER, a.a.O., Rz. 1340 mit Hinweisen).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B-3374/2019 vom 2. September 2019 E. 3.2 "Produkte zur Innenreinigung III" und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(BVGE 2017 IV/3 E. 3.3 "Mobile Warnanlagen";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3</w:t>
      </w:r>
    </w:p>
    <w:p>
      <w:r>
        <w:t>Ein Gesuch um Erteilung der aufschiebenden Wirkung ist nach dem zuvor Gesagten (vgl. E. 2.3 hiervor) nicht nur dann abzuweisen, wenn die Beschwerde materiell als offensichtlich unbegründet erscheint, sondern auch, wenn die Beschwerde prima facie deshalb keine Erfolgsaussichten hat, weil aller Voraussicht nach darauf nicht eingetreten werden kann (Zwischenentscheide des BVGer B-3374/2019 vom 12. November 2019 E. 4.2 "Produkte zur Innenreinigung III", B-3302/2019 vom 24. September 2019 E. 5 "Stahlwasserbauten Ritomsee").</w:t>
      </w:r>
    </w:p>
    <w:p>
      <w:r>
        <w:rPr>
          <w:b/>
        </w:rPr>
        <w:t>E. 3.1</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Art. 32 ff. VöB (im 3. Kapitel: "Übrige Beschaffungen") regeln Aufträge des Bundes, die entweder die Schwellenwerte des GPA nicht erreichen oder die durch Auftraggeber vergeben werden, die keinem der beiden internationalen Abkommen und damit auch nicht dem BöB unterstehen (BVGE 2008/48 E. 2.1 mit Hinweisen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3.2</w:t>
      </w:r>
    </w:p>
    <w:p>
      <w:r>
        <w:t>Die Vergabestelle ist als Bundesamt Teil der allgemeinen Bundesverwaltung und untersteht damit dem BöB (Art. 2 Abs. 1 Bst. a BöB; vgl. Anhang 1 Annex 1 zum GPA).</w:t>
      </w:r>
    </w:p>
    <w:p>
      <w:r>
        <w:rPr>
          <w:b/>
        </w:rPr>
        <w:t>E. 3.3</w:t>
      </w:r>
    </w:p>
    <w:p>
      <w:r>
        <w:t>Die Vergabestelle stellt sich nun auf den Standpunkt, dass der massgebliche Schwellenwert von Fr. 8'700'000.- vorliegend unterschritten sei (Vernehmlassung der Vergabestelle vom 26. November 2019, Rz. 3 ff.), was von der Beschwerdeführerin bestritten wird (Replik zur aufschiebenden Wirkung, Rz. 3 ff.).</w:t>
      </w:r>
    </w:p>
    <w:p>
      <w:r>
        <w:rPr>
          <w:b/>
        </w:rPr>
        <w:t>E. 4.1</w:t>
      </w:r>
    </w:p>
    <w:p>
      <w:r>
        <w:t>Vorliegend geht die Vergabestelle in Ziff. 1.8 der Ausschreibung vom 13. Juni 2019 von einem Bauauftrag aus. Nach Art. 5 Abs. 1 Bst. c BöB bedeutet der Begriff "Bauauftrag" einen Vertrag über die Durchführung von Hoch- und Tiefbauarbeiten im Sinne von Ziff. 51 der zentralen Produkteklassifikation (CPC-Liste) nach Anhang 1 Annex 5 des GATT-Übereinkommens. Beim Neubau zweier Lärmschutzwände (inkl. Pfahlfundation) und dem Ersatz des Deckbelags auf der N13/28 handelt es sich offensichtlich und unbestrittenermassen um einen Bauauftrag, der in den (sachlichen) Anwendungsbereich des BöB fällt. Art. 6 Abs. 1 Bst. c BöB bzw. Art. 6 Abs. 2 BöB i.V.m. Art. 1 Bst. c der Verordnung des WBF vom 22. November 2017 über die Anpassung der Schwellenwerte im öffentlichen Beschaffungswesen für die Jahre 2018 und 2019 (SR 172.056.12) beträgt der Schwellenwert für Bauleistungen Fr. 8'700'000.-. Massgeblich ist nach Art. 6 Abs. 1 Bst. c BöB der (hinreichend sorgfältig) geschätzte Wert des zu vergebenden Auftrags. Vergibt die Auftraggeberin für die Realisierung eines Bauwerkes mehrere Bauaufträge, so ist nach Art. 7 Abs. 2 BöB deren (geschätzter) Gesamtwert massgebend. Entscheidend ist damit, ob im Gegenstand eines Bauauftrags ein isoliertes eigenes Bauwerk oder ein Teil eines grösseren Bauvorhabens zu sehen ist (Urteile des BVGer B-913/2012 vom 28. März 2012 E. 4.2.1 "Lärmschutzwände Kloten" mit weiteren Hinweisen und B-4657/2009 vom 20. Juli 2010 E. 2.7 "Travaux de réfection N9"; Zwischenentscheid des BVGer B-3311/2009 vom 16. Juli 2009 E. 3.5 "Baumeisterarbeiten Vorausmassnahmen Unterhaltsplanung N3").</w:t>
      </w:r>
    </w:p>
    <w:p>
      <w:r>
        <w:rPr>
          <w:b/>
        </w:rPr>
        <w:t>E. 4.2</w:t>
      </w:r>
    </w:p>
    <w:p>
      <w:r>
        <w:t>Der von der Vergabestelle im vorliegenden Fall geschätzte Preis liegt bei Fr. 1'973'000.- für Projekt Nr. 120054 bzw. Fr. 3'932'000.- für Projekt Nr. 120057, d.h. gesamthaft für beide Projekte bei Fr. 5'905'000.- (vgl. Vernehmlassungsbeilage 7). Der Zuschlag wurde zu einem Preis von Fr. 6'189'746.75 exkl. MwSt. vergeben. Die Angebote liegen schliesslich alle unter 6'200'000.- (vgl. Vernehmlassungsbeilage 8). Darin ist ein Indiz zu sehen, dass die von der Vergabestelle getätigte Schätzung plausibel war. Es stellt sich indessen die Frage, ob das Bauwerk richtig abgegrenzt worden ist. Ein Auftrag darf insbesondere nicht in der Absicht aufgeteilt werden, die Anwendbarkeit des BöB zu umgehen.</w:t>
      </w:r>
    </w:p>
    <w:p>
      <w:r>
        <w:rPr>
          <w:b/>
        </w:rPr>
        <w:t>E. 4.3</w:t>
      </w:r>
    </w:p>
    <w:p>
      <w:r>
        <w:t>In ihrer Vernehmlassung erklärt die Vergabestelle, dass die Beschaffung der Bauwerke mit den Projektnummern 120054 und 120057 lediglich aus Synergiegründen gemeinsam erfolgt sei. Jedoch seien die Bauwerke voneinander unabhängig. Das zeige sich auch in den jeweiligen Plangenehmigungsverfügungen, Leistungsverzeichnissen und weiteren Dokumenten. Beide Bauwerke seien vollumfänglich funktionstüchtig bzw. erfüllten ihren Zweck unabhängig davon, ob weitere Lärmsanierungsmassnahmen erfolgten oder nicht (Vernehmlassung vom 26. November 2019, Rz. 5 ff.). Die Beschwerdeführerin hält dem im Wesentlichen mit dem Argument entgegen, dass die vorliegenden Bauleistungen nicht als einzelne Bauleistungen, sondern als Teil des Umsetzungsprogramms für nicht fristgerecht sanierte Nationalstrassenabschnitte [mit Verweis auf die Projekte F4.11, Sennwald - St. Margrethen, und F4.8, Verzweigung Reichenburg-Weesen (Beschwerdebeilage 30)] anzusehen seien (Replik, Rz. 4 ff.).</w:t>
      </w:r>
    </w:p>
    <w:p>
      <w:r>
        <w:rPr>
          <w:b/>
        </w:rPr>
        <w:t>E. 4.4</w:t>
      </w:r>
    </w:p>
    <w:p>
      <w:r>
        <w:t>Aufgrund der verschiedenen Ansichten der Parteien gilt es nachfolgend zu prüfen, ob und inwiefern es sich bei den fraglichen Projekten der Vergabestelle (vgl. Vernehmlassungsbeilage 17) betreffend Erstellung von Lärmschutzwänden um ein einheitliches Bauwerk oder um voneinander unabhängige Bauwerke handelt, mithin ob sie ein einheitliches Bauvorhaben bilden oder als voneinander unabhängige Einzelaufträge zu betrachten sind bzw. ob der massgebliche Schwellenwert erreicht ist.</w:t>
      </w:r>
    </w:p>
    <w:p>
      <w:r>
        <w:rPr>
          <w:b/>
        </w:rPr>
        <w:t>E. 4.4.1</w:t>
      </w:r>
    </w:p>
    <w:p>
      <w:r>
        <w:t>Gemäss Ziff. 2.6 und Ziff. 4.5 der Ausschreibung ("Detaillierter Projektbeschrieb) umfassen die beiden streitgegenständlichen Projekte (Nr. 120054 und Nr. 120057) folgende Abschnitte der Bauausführung: "Auf der N03/76 zwischen Flums und Mels, km 183.900 bis 189.800 ist der Bau zweier Lärmschutzwände (LSW Hochwiesen, L = 456 m, H = 2.25 m und LSW Unterheiligkreuz, L = 318 m, H = 2.50 m) entlang der Fahrbahn Richtung Zürich vorgesehen: Die Fundation wird bei beiden LSW als Grossbohrpfähle erstellt (L=10m, d=0.5m, a=4m). Die LSW-Elemente werden als Betonrippenplatten (Lavabeton) stützendeckend ausgeführt. Zwischen den km 185.390 und 186.080 resp. km 189.470 und 189.753 erfolgt zudem ein Ersatz des Deckbelags durch einen lärmarmen Belag (SDA8-12) auf allen 4 Fahrspuren. Der zu ersetzende Belag weist einen PAK-Gehalt im Asphalt von 250 mg/kg auf. Die Ausführung der LSW an der N03/76 erfolgt unter einer reduzierten Verkehrsführung 2/2. Der Belagseinbau pro Fahrbahn mit einem Spurabbau." "(...) Zu 2.6 Detaillierter Aufgabenbeschrieb: Auf der N13/28 zwischen Buchs - Sennwald, km 158.301 und 158.761 ist der Bau einer Lärmschutzwand (LSW Haag, L=460 m, H=4.50 m) vorgesehen, welche auf Grossbohrpfählen (L=7m, d=0.7m, a=8m). fundiert ist. Die LSW-Elemente werden als Betonrippenplatten (Lavabeton) stützendeckend oder als Holzkonstruktion ausgeführt. Die Ausführung der LSW an der N13/28 erfolgt unter Einrichtung einer 3/1 Verkehrsführung. Sämtliche Bauarbeiten können mehrheitlich am Tag ausgeführt werden. Das Einrichten der Verkehrsführung erfolgt durch den Unternehmer in Nachtarbeit, in Zusammenarbeit mit der zuständigen Gebietseinheit."</w:t>
      </w:r>
    </w:p>
    <w:p>
      <w:r>
        <w:rPr>
          <w:b/>
        </w:rPr>
        <w:t>E. 4.4.2</w:t>
      </w:r>
    </w:p>
    <w:p>
      <w:r>
        <w:t>Aus Ziff. 2.7 der Ausschreibung geht hervor, dass sich in den folgenden politischen Gemeinden die Nationalstrassenabschnitte der Projekte Nr. 120054 und Nr. 120057 befinden: (...) Gemeinden Flums, Mels, Sennwald, Nationalstrasse."</w:t>
      </w:r>
    </w:p>
    <w:p>
      <w:r>
        <w:rPr>
          <w:b/>
        </w:rPr>
        <w:t>E. 4.4.3</w:t>
      </w:r>
    </w:p>
    <w:p>
      <w:r>
        <w:t>In der Übersicht der Filiale 4 der Vergabestelle zum "Controlling Umsetzungsprogramm für nicht fristgerecht lärmsanierte Nationalstrassenabschnitte" (nachfolgend: Übersicht der Nationalstrassenabschnitte) wird die räumliche Darstellung der verschiedenen Lärmschutzsanierungen von Nationalstrassenabschnitten bildlich und tabellarisch dargestellt (Vernehmlassungsbeilage 17). Die Projekte F4.8 bis F4.11 sind (auszugsweise) wie folgt tabellarisch aufgeführt: Projekt-Nr. Streckenabschnitt Länge in Metern F4.8 N03/68 Verzweigung Reichenburg-Weesen 4'006 F4.9 N03/76 Murg-Verzweigung Sargans 3'210 F4.10 N13/28 Grenze GR/SG Sennwald 2'995 F4.11 N13/32 Sennwald St. Margrethen 2'362</w:t>
      </w:r>
    </w:p>
    <w:p>
      <w:r>
        <w:rPr>
          <w:b/>
        </w:rPr>
        <w:t>E. 4.4.4</w:t>
      </w:r>
    </w:p>
    <w:p>
      <w:r>
        <w:t>Die streitgegenständlichen Projekte Nr. 120054 und Nr. 120057 entsprechen dabei den Nr. F4.10 und F4.9 in der Tabelle, wobei die Beschwerdeführerin nun vorbringt, dass die geographisch in der Nähe befindlichen Projekte F4.8 und F4.11 mit den streitgegenständlichen Projekten zusammen als ein Bauprojekt zu verstehen seien. Vor diesem Hintergrund ist zu vergegenwärtigen, dass die hier streitgegenständlichen Projekte gemäss Ziff. 2.5 i.V.m. Ziff. 4.5 der Ausschreibung nur kurze Teilabschnitte zum Bau von Lärmschutzwänden umfassen. Zwischen den km 185.390 und 186.080 respektive km 189.470 und 189.753 erfolgt zudem ein Ersatz des Deckbelags durch einen lärmarmen Belag. Nach der Übersicht der Nationalstrassenabschnitte entspricht die Länge der Teilabschnitte insgesamt 2'995 Metern bzw. 3'210 Meter für die Projekte Nr. 120054 und Nr. 120057. Dabei schliessen die Projekte weder unmittelbar aneinander noch an die Projekte F4.8 oder F4.11 an, auch wenn etwa in der Übersicht der Nationalstrassenabschnitte beim Ausführungsort der oben erwähnten Projekte die politische Gemeinde Sennwald sowohl beim Projekt F4.10 als auch beim Projekt F4.11 aufgeführt wird. Die Übersichtspläne in den Vernehmlassungsbeilagen 2 bis 4 zeigen denn auch deutlich die kurzen Teilabschnitte der streitgegenständlichen Projekte.</w:t>
      </w:r>
    </w:p>
    <w:p>
      <w:r>
        <w:rPr>
          <w:b/>
        </w:rPr>
        <w:t>E. 4.4.5</w:t>
      </w:r>
    </w:p>
    <w:p>
      <w:r>
        <w:t>Die Projekte F4.8 und F4.11 umfassen wiederum mehrere Teilabschnitte und sind in geographischer Hinsicht von der hier streitgegenständlichen Beschaffung deutlich abgrenzbar. Gemäss der Übersicht der Nationalstrassenabschnitte beinhaltet das Projekt F4.11 ebenfalls nur kurze Teilabschnitte mit einer Länge von 2'362 Metern und liegt räumlich weit nördlich des streitgegenständliches Projekts F4.10 bei St. Margrethen bzw. Au. Es beinhaltet gemäss der Übersicht der Nationalstrassenabschnitte keinen Einbau eines neuen Belags. Bereits daraus erhellt sich, dass dieses Bauprojekt eher als Einzelauftrag denn als einheitliches Bauwerk zu betrachten ist. Das Projekt F4.8 ist gemäss den Angaben der Übersicht der Nationalstrassenabschnitte bereits abgeschlossen und betrifft Abschnitte bei der Verzweigung Reichenburg-Weesen, d.h. zwischen dem Zürich- und dem Walensee. Auch diese Teilabschnitte umfassen insgesamt nur eine Länge von 4'600 Metern und sind ebenso räumlich von den streitgegenständlichen Projekten deutlich abgrenzbar. Aufgrund dieser Dokumentation ist daher davon auszugehen, dass die Bauprojekte F4.8 und F4.11 betreffend Erstellung von Lärmschutzwänden räumlich und verfahrenstechnisch eigenständige Bauwerke und nicht als Teile eines (grösseren) Gesamtbauwerks für die Lärmsanierungen aller Nationalstrassenabschnitte zu verstehen sind, wie es die Beschwerdeführerin mit Verweis auf das Umsetzungsprogramm zur Lärmsanierung nicht fristgerecht lärmsanierter Nationalstrassenabschnitte geltend macht (vgl. Beschwerdebeilage 28 bis 30).</w:t>
      </w:r>
    </w:p>
    <w:p>
      <w:r>
        <w:rPr>
          <w:b/>
        </w:rPr>
        <w:t>E. 4.4.6</w:t>
      </w:r>
    </w:p>
    <w:p>
      <w:r>
        <w:t>Schliesslich kommt in den Vernehmlassungsbeilagen 5 und 6 zum Ausdruck, dass separate Plangenehmigungen für die beiden Projekte Nr. 120054 und Nr. 120057 bestehen. In Vernehmlassungsbeilage 7 ("Check- und Verlaufsblatt") ist ausserdem ersichtlich, dass zum einen die Projektkosten für die baulichen Massnahmen für jeden Bauauftrag separat veranschlagt wurden. Auch aus dem Dokument 'Terminplan "Offenes Verfahren" nach VöB' (mit dem Vermerk "ohne Rechtsmittel") geht hervor, dass die Vergabestelle davon ausging, dass die Schwellenwerte nicht überschritten seien.</w:t>
      </w:r>
    </w:p>
    <w:p>
      <w:r>
        <w:rPr>
          <w:b/>
        </w:rPr>
        <w:t>E. 4.4.7</w:t>
      </w:r>
    </w:p>
    <w:p>
      <w:r>
        <w:t>Zusammenfassend hängen die Projekte F4.8 und F4.11 in sachlicher Hinsicht zwar (teilweise) mit den streitgegenständlichen Projekten zusammen, sind aber räumlich und verfahrenstechnisch klar voneinander abgrenzbar, was gegen die Annahme eines übergeordneten Bauwerks und im Übrigen auch gegen eine unzulässige Zerstückelung spricht, wie sie die Beschwerdeführerin replicando geltend macht. Es liegt jedenfalls im Ermessen der Vergabebehörde, Unterhalts- und Sanierungsarbeiten zu etappieren und damit in mehrere Aufträge aufzuteilen oder gesamthaft zusammenzufassen, sofern weder das Zerstückelungsverbot gemäss Art. 7 Abs. 1 BöB noch die Bauwerkregel nach Art. 7 Abs. 2 Satz 1 BöB verletzt werden (vgl. zum Ganzen Urteil des BVGer B-913/2012 vom 28. März 2012 E. 4.2.1 i.V.m E. 4.2.6 "Lärmschutzwände Kloten" sowie Martin Beyeler, Bausubmissionen: Schwellenwerte, Bauwerkregel und Bagatellklausel, in: Anwaltsrevue 2008, S. 263 ff., insb. S. 267). Der (hinreichend sorgfältig) geschätzte Preis liegt somit bei den genannten Fr. 1'973'000.- für Projekt Nr. 120054 bzw. Fr. 3'932'000.- für Projekt Nr. 120057, d.h. gesamthaft für beide Projekte bei Fr. 5'905'000.- (vgl. Vernehmlassungsbeilage 7). Demzufolge ist der Schwellenwert von Fr. 8'700'000.- jedenfalls prima facie nicht erreicht, womit schliesslich offen gelassen werden kann, ob es sich bei den beiden streitgegenständlichen Projekten Nr. 120054 und Nr. 120057 um ein einziges oder zwei Bauwerke handelt, da der Schwellenwert auch unter Berücksichtigung beider Projekte nicht erreicht wäre. Zu prüfen bleibt demnach einzig, ob eine Zuständigkeit des Bundesverwaltungsgerichts dadurch gegeben ist, dass sowohl die Ausschreibung als auch die Zuschlagspublikation eine Rechtsmittelbelehrung enthalten, wobei die Vergabestelle im an die Beschwerdeführerin gerichteten Schreiben vom 22. Oktober 2019 auf die Rechtsmittelbelehrung der Zuschlagspublikation ausdrücklich hingewiesen hat.</w:t>
      </w:r>
    </w:p>
    <w:p>
      <w:r>
        <w:rPr>
          <w:b/>
        </w:rPr>
        <w:t>E. 4.5</w:t>
      </w:r>
    </w:p>
    <w:p>
      <w:r>
        <w:t>Massgebend für die Zuständigkeit des Bundesverwaltungsgerichts ist die Anwendbarkeit des BöB (vgl. E. 3.1 hiervor). Die Begründung der Zuständigkeit durch Einverständnis zwischen Behörde und Partei ist dagegen ausgeschlossen (Art. 7 Abs. 2 VwVG; Urteil des BVGer B-2192/2018 vom 12. Juni 2018 E. 3.2 "Umweltbaubegleitung Murg-Walenstadt"; Entscheid der BRK im Verfahren 2001-009 vom 11. Oktober 2001, publiziert in Verwaltungspraxis der Bundesbehörden [VPB] 66.4 E. 1b). Die Vergabestelle kann zwar freiwillig unterschwellig ein offenes oder selektives Verfahren durchführen, hat aber nicht die Möglichkeit, die Ausschreibung oder den Zuschlag für eine Beschaffung, die dem Regime BöB bzw. des GPA nicht untersteht, freiwillig durch entsprechende Bezeichnung zu einer anfechtbaren Verfügung im Sinne von Art. 29 BöB zu machen, wenn sie beispielsweise weiss, dass die einschlägigen Schwellenwerte nicht erreicht sind. Der Anwendungsbereich des BöB wird durch das Gesetz selbst abschliessend geregelt. Auch eine Ausschreibung und Zuschlagserteilung nach den Regeln des GPA und die fehlerhafte Rechtsmittelbelehrung kann nicht zur Bejahung der Eintretensfrage trotz fehlender Zuständigkeitsvoraussetzungen führen (Urteile des BVGer B-2192/2018 vom 12. Juni 2018 E. 3.2 "Umweltbaubegleitung Murg-Walenstadt", B-1687/2010 vom 21. Juni 2011, auszugsweise publiziert als BVGE 2011/17, nicht veröffentlichte E. 1.2 "Personalverleih", B-1773/2006 vom 25. September 2008, teilweise publiziert in BVGE 2008/48, nicht publizierte E. 1.2 "Areal- und Gebäudeüberwachung PSI" und B-3060/2010 vom 27. August 2010 E. 1.2 "Entwicklungshilfe"; vgl. auch Galli/Moser/Lang/Steiner, a.a.O., Rz. 1219 mit Hinweisen). Das gilt sogar dann, wenn die Vergabestelle die Zuständigkeit des Bundesverwaltungsgerichts zunächst bejaht und diese erst im Rahmen einer zweiten Stellungnahme bestreitet, wobei ein allfälliger Verstoss gegen Treu und Glauben in diesem Zusammenhang bei den Kostenfolgen allenfalls zu berücksichtigen ist (Urteil des BVGer B-2192/2018 vom 12. Juni 2018 E. 3.2 "Umweltbaubegleitung Murg-Walenstadt"; Zwischenentscheid B-93/2007 vom 8. Juni 2007 E. 3.2.1 "Sanierung Rietliareal"). Damit braucht auch nicht vertieft zu werden, ob die Vergabestelle bewusst oder versehentlich ein offenes Verfahren eingeleitet hat. Jedenfalls ist festzustellen, dass die Beschwerdeführerin aus der fehlerhaften Rechtsmittelbelehrung in Bezug auf die Eintretensfrage nichts zu ihren Gunsten ableiten kann. Da der massgebliche Schwellenwert nicht erreicht wird, fällt die in Frage stehende Vergabe de lege lata nicht in den Anwendungsbereich des BöB (vgl. allerdings de lege ferenda Art. 52 Abs. 2 des Bundesgesetzes über das öffentliche Beschaffungswesen vom 21. Juni 2019; BBl 2019 4505). Das Bundesverwaltungsgericht ist für die Beurteilung der vorliegenden Streitsache somit prima facie aller Voraussicht nach nicht zuständig. Nach dem Gesagten ist auf die Beschwerde prima facie aller Wahrscheinlichkeit nach nicht einzutreten. Demnach ist das Begehren auf Erteilung der aufschiebenden Wirkung ohne Interessenabwägung abzuweisen (vgl. E. 2.3 hiervor).</w:t>
      </w:r>
    </w:p>
    <w:p>
      <w:r>
        <w:rPr>
          <w:b/>
        </w:rPr>
        <w:t>E. 5</w:t>
      </w:r>
    </w:p>
    <w:p>
      <w:r>
        <w:t>Die Beschwerdeführerin verlangt schliesslich Einsicht in sämtliche Akten der Vergabestelle, da ihr nur wenige Angaben zur Verfügung stünden, um ihre Parteirechte wahrzunehmen (Beschwerde vom 11. November 2019, Rz. 37 ff.).</w:t>
      </w:r>
    </w:p>
    <w:p>
      <w:r>
        <w:rPr>
          <w:b/>
        </w:rPr>
        <w:t>E. 5.1</w:t>
      </w:r>
    </w:p>
    <w:p>
      <w:r>
        <w:t>Der Beschwerdeführerin wurde mit Verfügung vom 27. November 2019 die Vernehmlassung der Vergabestelle vom 26. November 2019 samt Beilagen 1 bis 16 ("Vollmacht", "Übersichtsplan LSW Hochwiesen und Ersatz Deckbelag", "Übersichtsplan LSW Unterheiligkreuz und Ersatz Deckbelag", "Übersichtsplan LSW Anschluss Haag Rtg. Chur", "Plangenehmigung N03/76 Lärmschutzprojekt Flums-Mels, Seite 1", Plangenehmigung N13/28 Lärmschutzprojekt Buchs-Sennwald, Seite 1", "Check- und Verlaufsblatt", "Anonymisiertes Offertöffnungsprotokoll", verschiedene Simap-Publikationen, "Unternehmerangaben, Seite 6", Besondere Bestimmungen Bau Pos. R990, Seiten 67 + 68", "Organigramm", "Technischer Bericht, Seiten 12-14" und "Bauprogramm LSW Hochwiesen") zugestellt.</w:t>
      </w:r>
    </w:p>
    <w:p>
      <w:r>
        <w:rPr>
          <w:b/>
        </w:rPr>
        <w:t>E. 5.2</w:t>
      </w:r>
    </w:p>
    <w:p>
      <w:r>
        <w:t>Am 2. und 3. Dezember 2019 wurden der Beschwerdeführerin schliesslich die Vernehmlassungsbeilagen 17 bis 20 und das Dokument 'Terminplan "Offenes Verfahren" nach VöB' (mit dem Vermerk "ohne Rechtsmittel"), welche die Nähe der beiden Projekte Nr. 120054 und Nr. 120057 oder allenfalls weiterer Projekte zum Gegenstand haben und die Frage nach der Anwendbarkeit des BöB bzw. Zuständigkeit des Gerichts beschlagen, sowie das Voraktenverzeichnis in teilweise anonymisierter Form (Vernehmlassungsbeilage 21) zugestellt.</w:t>
      </w:r>
    </w:p>
    <w:p>
      <w:r>
        <w:rPr>
          <w:b/>
        </w:rPr>
        <w:t>E. 5.3</w:t>
      </w:r>
    </w:p>
    <w:p>
      <w:r>
        <w:t>Mit Blick auf das bis zum Ergehen des Zwischenentscheides über die aufschiebende Wirkung geltende qualifizierte Beschleunigungsgebot ist vorliegend die Gewährung der Akteneinsicht teilweise ins Hauptverfahren zu verschieben (vgl. Zwischenentscheide des BVGer B-3644/2017 vom 23. August 2017 E. 7.2 "Tunnelorientierungsbeleuchtung" und B-3797/2015 vom 13. Juli 2015 E. 5 "Publicom"; Galli/Moser/Lang/Steiner, a.a.O., Rz. 1371). Dies rechtfertigt sich umso mehr, als der vorliegende Zwischenentscheid ausschliesslich mit der fehlenden Anwendbarkeit des BöB begründet wird. Damit ist die Situation vergleichbar derjenigen nach ausdrücklicher Beschränkung des Verfahrens auf die Frage der Zuständigkeit des Bundesverwaltungsgerichts (vgl. Galli/Moser/ Lang/Steiner, a.a.O., Rz. 1368). Aufgrund der erhaltenen Unterlagen kann sich die Beschwerdeführerin ohne Weiteres ein Bild machen von der Ausgangslage namentlich mit Blick auf die Anfechtung des vorliegenden Entscheids (vgl.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6</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