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B-5944/2011 vom 22. August 2012</w:t>
      </w:r>
    </w:p>
    <w:p>
      <w:r>
        <w:t>Bundesverwaltungsgericht, 2012-08-22, DE</w:t>
      </w:r>
    </w:p>
    <w:p>
      <w:r>
        <w:rPr>
          <w:b/>
        </w:rPr>
        <w:t xml:space="preserve">Quelle: </w:t>
      </w:r>
      <w:r>
        <w:t>https://mcp.opencaselaw.ch/entscheid/bvger_B-5944_2011</w:t>
      </w:r>
    </w:p>
    <w:p>
      <w:r>
        <w:t>FR: TAF B-5944/2011 du 22 août 2012</w:t>
      </w:r>
    </w:p>
    <w:p>
      <w:r>
        <w:t>IT: TAF B-5944/2011 del 22 agosto 2012</w:t>
      </w:r>
    </w:p>
    <w:p>
      <w:pPr>
        <w:pStyle w:val="Heading2"/>
      </w:pPr>
      <w:r>
        <w:t>Regeste</w:t>
      </w:r>
    </w:p>
    <w:p>
      <w:r>
        <w:t>Rentenanspruch</w:t>
      </w:r>
    </w:p>
    <w:p>
      <w:pPr>
        <w:pStyle w:val="Heading2"/>
      </w:pPr>
      <w:r>
        <w:t>Erwägungen</w:t>
      </w:r>
    </w:p>
    <w:p>
      <w:r>
        <w:rPr>
          <w:b/>
        </w:rPr>
        <w:t>E. 1.1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Eine Ausnahme im Sinne von Art. 32 VGG liegt nicht vor. Im Streit liegt die Verfügung der IV-Stelle für Versicherte im Ausland (Vorinstanz) vom 10. Oktober 2011. Das Bundesverwaltungsgericht ist damit zur Beurteilung der Beschwerde zuständig.</w:t>
      </w:r>
    </w:p>
    <w:p>
      <w:r>
        <w:rPr>
          <w:b/>
        </w:rPr>
        <w:t>E. 1.2</w:t>
      </w:r>
    </w:p>
    <w:p>
      <w:r>
        <w:t>Die Beschwerdeführerin ist als Adressatin durch die angefochtene Verfügung berührt und hat ein schutzwürdiges Interesse an deren Aufhebung oder Änderung, so dass sie im Sinne von Art. 59 des Bundesgesetzes vom 6. Oktober 2000 über den Allgemeinen Teil des Sozialversicherungsrechts (ATSG; SR 830.1) beschwerdelegitimiert ist.</w:t>
      </w:r>
    </w:p>
    <w:p>
      <w:r>
        <w:rPr>
          <w:b/>
        </w:rPr>
        <w:t>E. 1.3</w:t>
      </w:r>
    </w:p>
    <w:p>
      <w:r>
        <w:t>Auf die frist- und formgerecht (Art. 60 ATSG und Art. 52 des Bundesgesetzes über das Verwaltungsverfahren VwVG; SR 172.021) eingereichte Beschwerde ist einzutreten.</w:t>
      </w:r>
    </w:p>
    <w:p>
      <w:r>
        <w:rPr>
          <w:b/>
        </w:rPr>
        <w:t>E. 2</w:t>
      </w:r>
    </w:p>
    <w:p>
      <w:r>
        <w:t>Vorab ist zu prüfen, welche Rechtsnormen im vorliegenden Verfahren zur Anwendung gelangen.</w:t>
      </w:r>
    </w:p>
    <w:p>
      <w:r>
        <w:rPr>
          <w:b/>
        </w:rPr>
        <w:t>E. 2.1</w:t>
      </w:r>
    </w:p>
    <w:p>
      <w:r>
        <w:t>Nach der Rechtsprechung stellt das Sozialversicherungsgericht bei der Beurteilung einer Streitsache in der Regel auf den bis zum Zeitpunkt des Erlasses der streitigen Verfügung (hier: 10. Oktober 2011) eingetretenen Sachverhalt ab (BGE 129 V 1 E. 1.2 mit Hinweis). Weiter sind in zeitlicher Hinsicht grundsätzlich diejenigen Rechtssätze massgebend, die bei der Erfüllung des zu Rechtsfolgen führenden Tatbestandes Geltung hatten (BGE 130 V 329). Vorliegend ist damit grundsätzlich das per 1. Januar 2003 in Kraft getretene ATSG anwendbar sowie die materiellen Bestimmungen des IVG und der IVV, welche am 1. Januar 2008 in Kraft traten (5. IV-Revision). Noch keine Anwendung findet das am 1. Januar 2012 in Kraft getretene erste Massnahmenpaket der 6. IV-Revision (IVG in der Fassung vom 18. März 2011 [AS 2011 5659]).</w:t>
      </w:r>
    </w:p>
    <w:p>
      <w:r>
        <w:rPr>
          <w:b/>
        </w:rPr>
        <w:t>E. 2.2</w:t>
      </w:r>
    </w:p>
    <w:p>
      <w:r>
        <w:t>Nach Art. 37 VGG richtet sich das Verfahren vor dem Bundesverwaltungsgericht nach dem VwVG, soweit das VGG nichts anderes bestimmt. Indes findet das Verwaltungsverfahrensgesetz auf 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2.3</w:t>
      </w:r>
    </w:p>
    <w:p>
      <w:r>
        <w:t>Die Beschwerdeführerin ist finnische Staatsangehörige und damit Staatsangehörige eines Mitgliedstaates der Europäischen Union, so dass vorliegend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von Anhang II des FZA). Noch keine Anwendung finden die neuen europäischen Verordnungen (EG) Nr. 883/2004 und (EG) Nr. 987/2009. Die Bemessung des Invaliditätsgrads richtet sich auch nach dem Inkrafttreten des FZA nach schweizerischem Recht (BGE 130 V 253 E. 2.4). 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im Anhang V dieser Verordnung als übereinstimmend anerkannt sind, was für das Verhältnis zwischen Finnland und der Schweiz (ebenso wie für das Verhältnis zwischen den übrigen EU-Mitgliedstaaten und der Schweiz) nicht der Fall ist. Gemäss Art. 40 der Verordnung Nr. 574/72 hat der Träger eines Mitgliedstaates aber bei der Bemessung des Grades der Erwerbsminderung die von den Trägern der anderen Staaten erhaltenen ärztlichen Unterlagen und Berichte sowie Auskünfte der Verwaltung zu berücksichtigen, soweit sie rechtsgenüglich ins Verfahren eingebracht werden (vgl. Art. 32 VwVG). Jeder Träger behält jedoch insbesondere die Möglichkeit, durch einen Arzt oder eine Ärztin seiner Wahl die antragstellende Person untersuchen zu lassen.</w:t>
      </w:r>
    </w:p>
    <w:p>
      <w:r>
        <w:rPr>
          <w:b/>
        </w:rPr>
        <w:t>E. 2.4</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2.5</w:t>
      </w:r>
    </w:p>
    <w:p>
      <w:r>
        <w:t>Im Sozialversicherungsprozess gilt grundsätzlich der Untersuchungsgrundsatz. Danach hat das Gericht von Amtes wegen für die richtige und vollständige Abklärung des rechtserheblichen Sachverhalts zu sorgen. Dieser Grundsatz findet jedoch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Im vorliegenden Verfahren ist streitig und vom Bundesverwaltungsgericht zu prüfen, ob die Vorinstanz zu Recht das Vorliegen der Anspruchsvoraussetzungen für den Bezug einer Invalidenrente verneint hat.</w:t>
      </w:r>
    </w:p>
    <w:p>
      <w:r>
        <w:rPr>
          <w:b/>
        </w:rPr>
        <w:t>E. 3.1</w:t>
      </w:r>
    </w:p>
    <w:p>
      <w:r>
        <w:t>Anspruch auf eine Rente der schweizerischen Invalidenversicherung hat, wer invalid im Sinn des Gesetzes ist (Art. 7, 8, 16 ATSG; Art. 4, 28, 28a, 29 IVG) und beim Versicherungsfall mindestens während dreier Jahre (Art. 36 Abs. 1 IVG) Beiträge an die Alters-, Hinterlassenen- und Invalidenversicherung geleistet hat. Diese zwei Bedingungen müssen kumulativ erfüllt sein.</w:t>
      </w:r>
    </w:p>
    <w:p>
      <w:r>
        <w:rPr>
          <w:b/>
        </w:rPr>
        <w:t>E. 3.2</w:t>
      </w:r>
    </w:p>
    <w:p>
      <w:r>
        <w:t>Die Beschwerdeführerin hat unbestrittenermassen während mehr als dreier Jahre Beiträge an die schweizerische Alters-, Hinterlassenen- und Invalidenversicherung geleistet, so dass die Voraussetzung für den Anspruch auf eine ordentliche Invalidenrente zweifellos erfüllt ist. Zu prüfen bleibt damit, ob und gegebenenfalls ab wann und in welchem Umfang sie invalid im Sinne des Gesetzes ist.</w:t>
      </w:r>
    </w:p>
    <w:p>
      <w:r>
        <w:rPr>
          <w:b/>
        </w:rPr>
        <w:t>E. 3.3</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Der Zeitpunkt des Eintritts der Invalidität beurteilt sich nach Art. 28 Abs. 1 IVG (in der ab dem 1. Januar 2008 gültigen Fassung). Hiernach haben jene Versicherten Anspruch auf eine Rente, die ihre Erwerbsfähigkeit nicht durch zumutbare Eingliederungsmassnahmen wieder herstellen, erhalten oder verbessern können (Bst. a), während eines Jahres ohne wesentlichen Unterbruch durchschnittlich mindestens zu 40 Prozent arbeitsunfähig gewesen sind (Bst. b), und nach Ablauf dieses Jahres zu mindestens 40 Prozent invalid sind (Bst. c).</w:t>
      </w:r>
    </w:p>
    <w:p>
      <w:r>
        <w:rPr>
          <w:b/>
        </w:rPr>
        <w:t>E. 3.4.1</w:t>
      </w:r>
    </w:p>
    <w:p>
      <w:r>
        <w:t>Die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Gemäss Art. 29 Abs. 4 IVG werden Renten, die einem Invaliditätsgrad von weniger als 50 Prozent entsprechen, nur an Versicherte ausgerichtet, die ihren Wohnsitz und gewöhnlichen Aufenthalt (Art. 13 ATSG) in der Schweiz haben. Eine Ausnahme von diesem Prinzip gilt seit dem 1. Juni 2002 für Schweizer Bürger und Staatsangehörige der Europäischen Gemeinschaft, denen bei einem Invaliditätsgrad ab 40 Prozent eine Rente ausgerichtet wird, wenn sie in einem Mitgliedstaat der Europäischen Gemeinschaft Wohnsitz haben.</w:t>
      </w:r>
    </w:p>
    <w:p>
      <w:r>
        <w:rPr>
          <w:b/>
        </w:rPr>
        <w:t>E. 3.4.2</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[heute: Bundesgericht] I 457/04 vom 26. Oktober 2004, in: SVR 2006 IV Nr. 10, E. 4.1 mit Verweis auf BGE 107 V 17 E. 2b).</w:t>
      </w:r>
    </w:p>
    <w:p>
      <w:r>
        <w:rPr>
          <w:b/>
        </w:rPr>
        <w:t>E. 3.5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vom 26. Januar 2006 [I 268/2005]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w:t>
      </w:r>
    </w:p>
    <w:p>
      <w:r>
        <w:rPr>
          <w:b/>
        </w:rPr>
        <w:t>E. 4</w:t>
      </w:r>
    </w:p>
    <w:p>
      <w:r>
        <w:t>Wie bereits vorangehend ausgeführt, hat die Vorinstanz mit der angefochtenen Verfügung vom 10. Oktober 2011 eine Leistungspflicht verneint, da ein Invaliditätsgrad von lediglich 29 % bestehe. Die Beschwerdeführerin ist demgegenüber der Ansicht, dass sie Anspruch auf eine (volle) Invalidenrente habe. Im Nachfolgenden ist damit die durch die Vorinstanz vorgenommene Invaliditätsbemessung zu überprüfen.</w:t>
      </w:r>
    </w:p>
    <w:p>
      <w:r>
        <w:rPr>
          <w:b/>
        </w:rPr>
        <w:t>E. 4.1</w:t>
      </w:r>
    </w:p>
    <w:p>
      <w:r>
        <w:t>Die in den vorinstanzlichen Akten vorliegenden medizinischen Arztberichte gehen übereinstimmend davon aus, dass die Beschwerdeführerin an beiden Augen an einem grünen Star (Glaukom) leidet, der in den 70er-Jahren erstmals diagnostiziert wurde. Es ist ersichtlich, dass sich die Beschwerdeführerin in der Folge im Jahr 1998 am linken Auge sowie im Jahr 2007 am rechten Auge einer Operation unterzog. Unbestritten ist schliesslich, dass die Sehkraft der Beschwerdeführerin durch die Krankheit an beiden Augen stark eingeschränkt ist, bei schlechterer Sehkraft des linken Auges.</w:t>
      </w:r>
    </w:p>
    <w:p>
      <w:r>
        <w:rPr>
          <w:b/>
        </w:rPr>
        <w:t>E. 4.2</w:t>
      </w:r>
    </w:p>
    <w:p>
      <w:r>
        <w:t>Die Beschwerdeführerin arbeitete zuletzt im Gesundheitszentrum O._______ in der Diabetespraxis, Abteilung Pflegemittelvergabe. Sie war zuständig für die Pflegemittelbestellungen, wobei sie fast ausschliesslich am Computerbildschirm arbeitete. Aus den vorliegenden Arztberichten, insbesondere den Stellungnahmen der RAD-Ärztin Dr. med. M._______ vom 7. April 2011 sowie 27. Mai 2011 ist ersichtlich, dass die Beschwerdeführerin angesichts ihrer Augenproblematik nicht mehr in der Lage ist, Computer- sowie Präzisionsarbeiten vorzunehmen und damit für die bisherige Arbeit am Computerbildschirm nicht geeignet ist. Es ist folglich von einer eingeschränkten Arbeitsunfähigkeit in der bisherigen Tätigkeit auszugehen. Dr. med. M._______ beziffert diese Arbeitsunfähigkeit auf 50 % ab dem 23. Februar 2010. Nachdem feststeht, dass die Beschwerdeführerin in ihrer bisherigen beruflichen Tätigkeit fast ausschliesslich am Computerbildschirm gearbeitet hat und ihr die Arbeit am Computerbildschirm auf Grund der Sehschwäche nicht mehr möglich ist, ist die RAD-ärztliche Bezifferung der Arbeitsunfähigkeit im bisherigen Beruf nicht nachvollziehbar. Vielmehr erscheint eine deutlich höhere, allenfalls gar eine vollzeitige Arbeitsunfähigkeit als eher wahrscheinlich. Die Frage der (allenfalls höheren) Arbeitsunfähigkeit in der bisherigen Tätigkeit kann jedoch offen bleiben, da die Vorinstanz zu Recht die Zumutbarkeit einer Verweisungstätigkeit geprüft hat.</w:t>
      </w:r>
    </w:p>
    <w:p>
      <w:r>
        <w:rPr>
          <w:b/>
        </w:rPr>
        <w:t>E. 4.3</w:t>
      </w:r>
    </w:p>
    <w:p>
      <w:r>
        <w:t>Im Nachfolgenden ist damit zu prüfen, welche adaptierte Tätigkeit der Beschwerdeführerin trotz ihrer gesundheitlichen Einschränkung zumutbar ist.</w:t>
      </w:r>
    </w:p>
    <w:p>
      <w:r>
        <w:rPr>
          <w:b/>
        </w:rPr>
        <w:t>E. 5</w:t>
      </w:r>
    </w:p>
    <w:p>
      <w:r>
        <w:t>In den vorliegenden Arztberichten aus Finnland fehlen allgemeine Angaben zu den funktionellen Einschränkungen beziehungsweise zu den der Beschwerdeführerin zumutbaren körperlichen Anstrengungen. Stellung wird darin lediglich zur Einschränkung in der bisherigen Tätigkeit genommen. Ebenfalls fehlen eigene Abklärungen durch die Vorinstanz diesbezüglich, namentlich eine Abklärung betreffend berufliche Frühintegration. Die RAD-Ärztin Dr. med. M._______ erklärt auf Grund der vorliegenden Arztberichte aus Finnland (ohne persönliche Untersuchung der Beschwerdeführerin) in ihrer Stellungnahme vom 7. April 2011, es sei eine ganztägige angepasste Tätigkeit zumutbar, ohne Präzisionsarbeit oder Arbeit am Bildschirm. Sie begründet dies damit, dass die Beschwerdeführerin zwar für die derzeitige Arbeit am Bildschirm ungeeignet sei, die Arbeit als Krankenpflegerin indessen nicht ausschliesslich mit der Arbeit am Computer verbunden sei. Durch die Zuweisung einer Tätigkeit in einem geeigneteren Bereich sei eine uneingeschränkte Arbeitsfähigkeit möglich. Im Anhang zu ihrem Abschlussbericht vom 27. Mai 2011 konkretisiert sie, es seien der Beschwerdeführerin unter der Rubrik "einfache Büro- oder Verwaltungstätigkeiten ohne besondere Qualifikationen die nachfolgenden Tätigkeiten mit leichter Belastung, im Sitzen und / oder mit Wechseln zwischen sitzender und stehender Position möglich: · Erfassung, Einordnung, Archivierung · Verteilung interner Post, Botentätigkeit · Telefonistin (Tätigkeit im Sitzen) · Eingabe von Daten / Scannen (Tätigkeit im Sitzen) Die visuellen Anforderungen an eine Telefonistin werden hingegen nicht näher umschrieben. Gestützt auf diese Angaben erliess die Vorinstanz die Invaliditätsbemessung vom 22. Juni 2011. Hierbei ging sie vom Durchschnittseinkommen 2007 einer Telefonistin in Finnland aus (angepasst an die Lohnentwicklung gemäss den Statistiken des OECD), wobei sie der Beschwerdeführerin einen Leidensabzug von 25 % zugestand.</w:t>
      </w:r>
    </w:p>
    <w:p>
      <w:r>
        <w:rPr>
          <w:b/>
        </w:rPr>
        <w:t>E. 6.1</w:t>
      </w:r>
    </w:p>
    <w:p>
      <w:r>
        <w:t>Aus ihrer Stellungnahme ist zu schliessen, dass Dr. med. M._______ bei der vorangehenden Beurteilung der möglichen Arbeitstätigkeiten davon ausging, dass für die in Betracht gezogenen, auf dem verwendeten vorgedruckten Formular angekreuzten Tätigkeiten das Erfordernis des Arbeitens am Bildschirm sowie von Präzisionsarbeiten gänzlich fehle. Mit Verweis auf vorangehende Erwägung 3.4 ist in Erinnerung zu rufen, dass die - arbeitsmedizinische - Aufgabe der Ärzte und Ärztinnen darin besteht,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von der Verwaltung bzw. von der Berufsberatung zu beantworten. Der Sinn und Zweck dieser Aufgabenteilung liegt darin, dass nur ein Arzt oder eine Ärztin fachlich befähigt ist zur Festlegung, welche körperlichen Anstrengungen einer versicherten Person angesichts der gesundheitlichen Einschränkungen noch zumutbar sind. Demgegenüber verfügt ein Berufsberater respektive gegebenenfalls die Verwaltung über ausreichende Kenntnisse der verschiedenen Berufsfelder, um die mit Blick auf die durch den Arzt oder die Ärztin festgelegten zumutbaren körperlichen Anstrengungen mögliche Berufstätigkeit festzulegen.</w:t>
      </w:r>
    </w:p>
    <w:p>
      <w:r>
        <w:rPr>
          <w:b/>
        </w:rPr>
        <w:t>E. 6.2</w:t>
      </w:r>
    </w:p>
    <w:p>
      <w:r>
        <w:t>Entgegen der vorangehend dargelegten Aufgabenteilung hat sich vorliegend Dr. med. M._______ zu den der Beschwerdeführerin zumutbaren beruflichen Tätigkeiten geäussert und die Vorinstanz ist ihr darin unbesehen gefolgt. Dabei wurde indessen verkannt, dass die von ihr angeführten Tätigkeiten der Dateneingabe und -archivierung oder die Tätigkeit als Telefonistin in zeitgemässem Umfeld zwangsläufig mit der Arbeit am Bildschirm verbunden sind. Und auch die Tätigkeit als Postbotin setzt gute visuelle Fähigkeiten voraus, namentlich weil auch hierbei in zunehmendem Umfang die Bedienung elektronischer Lesegeräte verlangt wird. In ihrem Einkommensvergleich vom 22. Juni 2011 stützt sich die Vorinstanz auf das Vergleichseinkommen einer Telefonistin, was demnach nicht zu überzeugen vermag. Zusammenfassend enthalten damit die durch Dr. med. M._______ und in der Folge durch die Vorinstanz angenommenen Verweisungstätigkeiten aus Sicht des Bundesverwaltungsgerichts keine geringeren Anforderungen an die Sehkraft der Beschwerdeführerin als deren bisherige Tätigkeit. Der Schluss auf deren Zumutbarkeit überzeugt das Bundesverwaltungsgericht infolgedessen nicht. Da die Akten keine weiteren verwertbaren Hinweise zur Klärung der zumutbaren Berufstätigkeiten enthalten, ist das Bundesverwaltungsgericht nicht in der Lage, den Leistungsanspruch der Beschwerdeführerin abschliessend zu bestimmen.</w:t>
      </w:r>
    </w:p>
    <w:p>
      <w:r>
        <w:rPr>
          <w:b/>
        </w:rPr>
        <w:t>E. 7</w:t>
      </w:r>
    </w:p>
    <w:p>
      <w:r>
        <w:t>Zusammenfassend stellt das Bundesverwaltungsgericht fest, dass die Vorinstanz den rechtserheblichen Sachverhalt nicht vollständig festgestellt und gewürdigt hat (vgl. Art. 43 ff. ATSG sowie Art. 12 VwVG). Die Beschwerde ist daher gutzuheissen. 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 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fehlt in den vorinstanzlichen Akten eine Umschreibung der visuellen Anforderungen an eine Telefonistin oder für vergleichbare Berufe beziehungsweise eine Stellungnahme zu den der Beschwerdeführerin noch möglichen Arbeitstätigkeiten durch die Berufsberatung oder die Verwaltung. Die durch die RAD-Ärztin bezeichneten (vollzeitig zumutbaren) Berufstätigkeiten überzeugen nicht, da bei diesen das Erfordernis von Bildschirm- und Präzisionsarbeiten nicht ausgeschlossen werden kann, sondern im Gegenteil als wahrscheinlich zu erachten ist. Eine Rückweisung an die Vorinstanz erscheint daher gerechtfertigt - dies auch unter dem Gesichtspunkt, dass der Beschwerdeführerin der doppelte Instanzenzug gewahrt bleibt (vgl. BGE 137 V 210, E. 3.4). Die angefochtene Verfügung vom 10. Oktober 2011 ist daher aufzuheben und die Sache ist an die Vorinstanz zurückzuweisen, damit diese die der Beschwerdeführerin noch zumutbaren beruflichen Tätigkeiten unter Beizug eines Berufsberaters gemäss dem vorstehend Gesagten abkläre. Falls keine zumutbare Verweisungstätigkeit umschrieben werden kann, ist die Arbeitsunfähigkeit im bisherigen Beruf in nachvollziehbarer Weise festzustellen (vgl. hierzu vorangehend Erwägung 4.2) und gegebenenfalls der Beschwerdeführerin eine Invalidenrente zuzusprechen.</w:t>
      </w:r>
    </w:p>
    <w:p>
      <w:r>
        <w:rPr>
          <w:b/>
        </w:rPr>
        <w:t>E. 8</w:t>
      </w:r>
    </w:p>
    <w:p>
      <w:r>
        <w:t>Zu befinden bleibt noch über die Verfahrenskosten und eine allfällige Parteientschädigung.</w:t>
      </w:r>
    </w:p>
    <w:p>
      <w:r>
        <w:rPr>
          <w:b/>
        </w:rPr>
        <w:t>E. 8.1</w:t>
      </w:r>
    </w:p>
    <w:p>
      <w:r>
        <w:t>Gemäss Art. 63 Abs. 1 VwVG auferlegt das Bundesverwaltungsgericht die Verfahrenskosten in der Regel der unterliegenden Partei. Bei diesem Ausgang des Verfahrens sind der überwiegend obsiegenden Beschwerdeführerin praxisgemäss keine Kosten aufzuerlegen. Der Vorinstanz werden ebenfalls keine Verfahrenskosten auferlegt (Art. 63 Abs. 2 VwVG).</w:t>
      </w:r>
    </w:p>
    <w:p>
      <w:r>
        <w:rPr>
          <w:b/>
        </w:rPr>
        <w:t>E. 8.2</w:t>
      </w:r>
    </w:p>
    <w:p>
      <w:r>
        <w:t>Da der obsiegenden Beschwerdeführerin, welche nicht anwaltlich vertreten war, keine verhältnismässig hohen Kosten entstanden sind, ist ihr keine Parteientschädigung zuzusprechen (vgl.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