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B-5943/2014 vom 30. Oktober 2017</w:t>
      </w:r>
    </w:p>
    <w:p>
      <w:r>
        <w:t>Bundesverwaltungsgericht, 2017-10-30, DE</w:t>
      </w:r>
    </w:p>
    <w:p>
      <w:r>
        <w:rPr>
          <w:b/>
        </w:rPr>
        <w:t xml:space="preserve">Quelle: </w:t>
      </w:r>
      <w:r>
        <w:t>https://mcp.opencaselaw.ch/entscheid/bvger_B-5943_2014</w:t>
      </w:r>
    </w:p>
    <w:p>
      <w:r>
        <w:t>FR: TAF B-5943/2014 du 30 octobre 2017</w:t>
      </w:r>
    </w:p>
    <w:p>
      <w:r>
        <w:t>IT: TAF B-5943/2014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w:t>
      </w:r>
    </w:p>
    <w:p>
      <w:r>
        <w:rPr>
          <w:b/>
        </w:rPr>
        <w:t>E. 1.3</w:t>
      </w:r>
    </w:p>
    <w:p>
      <w:r>
        <w:t>Die Vorinstanz präzisiert ihren Antrag auf Nichteintreten in der Begründung ihrer Vernehmlassung, dies ziele auf Rechtsbegehren 1 der Beschwerde und begründet, die Publikation der Sanktionsverfügung sei grundsätzlich als Realakt kein taugliches Anfechtungsobjekt. Im Sinne von Art. 25a Abs. 2 VwVG ergehe eine Verfügung, wenn sich Partei und WEKO über die Form oder Art der Publikation nicht einig seien. Die Verfügung weiche aber nicht vom Grundsatz ab, dass die Publikation als solche kein taugliches Anfechtungsobjekt sei. Deshalb gebreche es der Beschwerde, soweit sie den Verzicht auf die Publikation überhaupt verlange, am Anfechtungsobjekt (Vernehmlassung Ziff. 6).</w:t>
      </w:r>
    </w:p>
    <w:p>
      <w:r>
        <w:rPr>
          <w:b/>
        </w:rPr>
        <w:t>E. 1.3.1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Uhlmann, in: Waldmann/Weissenberger (Hrsg.), Praxiskommentar Verwaltungsverfahrensgesetz [nachstehend: Praxiskommentar VwVG], 2. Aufl. 2016, Art. 5 VwVG N 5; Art. 31 VGG; Art. 46 VwVG). Unter einer Verfügung versteht sich gemäss Art. 5 Abs. 1 VwVG eine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Sogenannten Realakten kommt kein Verfügungscharakter zu. Es handelt sich um tatsächliches Verwaltungshandeln, welches nicht auf einen rechtlichen, sondern einen tatsächlichen Erfolg gerichtet ist; es begründet keine unmittelbaren Rechte und Pflichten von Privaten, kann aber mittelbare Rechtswirkungen zur Folge haben (Häfelin/Müller/Uhlmann, Allgemeines Verwaltungsrecht, 7. Aufl. 2016, Rz. 1408 und 1425; Häner, Praxiskommentar VwVG, N 6 zu Art. 25a VwVG). Um den Rechtsmittelweg zu eröffnen, kann, wer ein schutzwürdiges Interesse hat, gestützt auf Art. 25a VwVG von der zuständigen Behörde eine Verfügung über Handlungen verlangen, die sich auf öffentliches Recht des Bundes stützen und Rechte oder Pflichten berühren.</w:t>
      </w:r>
    </w:p>
    <w:p>
      <w:r>
        <w:rPr>
          <w:b/>
        </w:rPr>
        <w:t>E. 1.3.2</w:t>
      </w:r>
    </w:p>
    <w:p>
      <w:r>
        <w:t>Die Publikation kartellrechtlicher Sanktionsverfügungen ist ein Realakt (Urteil 2C_1065/2014 "Nikon AG" E. 1.1; Urteile B-4221/2008 vom 28. September 2009 E. 6.2 und B-3588/2012 "Nikon AG" E. 1.1; Häner, a.a.O. N 7 und Fn. 20 zu Art. 25a VwVG). Im Bewusstsein um diese Ausgangslage kündigte die Vorinstanz bereits mit der Zustellung der Sanktionsverfügung am 9. Januar 2014 an, bei Uneinigkeit über die Publikation eine Verfügung zu erlassen, mag in ihren Augen dabei als "Uneinigkeit" auch die Frage im Vordergrund gestanden sein, in welchem Umfang Abdeckungen vorzunehmen wären. Die Beschwerdeführerin stellte den Antrag, auf die Publikation sei an sich zu verzichten. Die Publikationsverfügung sprach sich sodann in ihrer Begründung in mehrfacher Hinsicht auch über die Frage der Publikation im Grundsatz aus, nicht ohne festzuhalten, es gehe vorliegend um "Grundsatzfragen, die einer Klärung durch die Rechtsprechung bedürfen", weshalb "die Frage der Publikation und die Frage des Umfangs gleichzeitig im Rahmen einer Verfügung zu beantworten" seien (Ziff. 18; vgl. Vernehmlassung, Ziff. 6).</w:t>
      </w:r>
    </w:p>
    <w:p>
      <w:r>
        <w:rPr>
          <w:b/>
        </w:rPr>
        <w:t>E. 1.3.3</w:t>
      </w:r>
    </w:p>
    <w:p>
      <w:r>
        <w:t>Gegenstand einer Verfügung über Realakte kann nach einhelliger Auffassung eine Handlung wie auch ein Unterlassen sein (Häfelin/Müller/Uhlmann, a.a.O., Rz. 1433; Häner, a.a.O. N 10 f. zu Art. 25a VwVG; Kiener/Rütsche/Kuhn, Öffentliches Verfahrensrecht, 2. Aufl. 2015, Rz. 428), sofern es in Anwendung von öffentlichem Recht des Bundes geschieht. Vorliegend beantragte die Beschwerdeführerin in Bezug auf eine Bestimmung des Bundesverwaltungsrechts, welche durch die Einräumung von Ermessen beide Optionen zulässt, eine bestimmte Handlung - die gegenständliche Veröffentlichung - zu unterlassen und die Vorinstanz entschied, diese Handlung vorzunehmen. Dabei bezog sie sich ausdrücklich darauf, dass gerade auch diese Frage (und nicht nur die Ausführung im Konkreten) eine von der Rechtsprechung zu klärende Grundsatzfrage sei. Die Vorinstanz erklärt weder, dass die Beschwerdeführerin (nur) an der Grundsatzfrage kein schutzwürdiges Interesse hätte, noch, weshalb die gestützt auf Art. 25a VwVG (i.V.m. Art. 48 Abs. 1 KG) erlassene Verfügung nur bezüglich der umstrittenen Ausführungsfragen, nicht aber betreffend die ebenso strittige Grundsatzfrage als Anfechtungsobjekt taugen solle. Dergleichen ist auch nicht erkennbar. Das Dispositiv könnte für sich genommen zwar theoretisch so gelesen werden, dass nur die Art der Publikation geregelt würde ("[...] wird in der Version veröffentlicht, die sich im Anhang [...] befindet."), jedoch ist dieses nicht nur nach dem reinen Wortlaut zu verstehen, sondern nach seinem rechtlichen Gehalt, zu dessen Sinnermittlung die Erwägungen beizuziehen sind (Zibung/Hofstetter, in: Praxiskommentar VwVG, N 51 zu Art. 49 VwVG m.w.H. in Fn. 243; BGE 120 V 496 E. 1a; BVGE 2014/24 E. 1.4.1 m.w.H.) - aufgrund der Verfahrensgeschichte einerseits und der Begründung der Verfügung anderseits verbietet sich diese eingeschränkte Lesart. Die Publikationsverfügung regelt sowohl die Publikation an sich als auch deren konkrete Gestaltung - und beides kann denn auch mit Beschwerde in Frage gestellt werden.</w:t>
      </w:r>
    </w:p>
    <w:p>
      <w:r>
        <w:rPr>
          <w:b/>
        </w:rPr>
        <w:t>E. 1.4</w:t>
      </w:r>
    </w:p>
    <w:p>
      <w:r>
        <w:t>Eine Ausnahme nach Art. 32 VGG liegt nicht vor.</w:t>
      </w:r>
    </w:p>
    <w:p>
      <w:r>
        <w:rPr>
          <w:b/>
        </w:rPr>
        <w:t>E. 1.5</w:t>
      </w:r>
    </w:p>
    <w:p>
      <w:r>
        <w:t>Die Beschwerdeführerin ist als Adressatin der Publikationsverfügung i.S.v. Art. 48 VwVG zur Beschwerde legitimiert (vgl. Urteil B-3588/2012 "Nikon AG" E. 1.1 al. 4 m.w.H.).</w:t>
      </w:r>
    </w:p>
    <w:p>
      <w:r>
        <w:rPr>
          <w:b/>
        </w:rPr>
        <w:t>E. 1.6</w:t>
      </w:r>
    </w:p>
    <w:p>
      <w:r>
        <w:t>Auf die Beschwerde ist somit vollumfänglich einzutreten.</w:t>
      </w:r>
    </w:p>
    <w:p>
      <w:r>
        <w:rPr>
          <w:b/>
        </w:rPr>
        <w:t>E. 1.7</w:t>
      </w:r>
    </w:p>
    <w:p>
      <w:r>
        <w:t>Mit der Beschwerde können gemäss Art. 49 VwVG die Verletzung von Bundesrecht (einschliesslich Überschreitung und Missbrauch des Ermessens; Bst. a), die unrichtige oder unvollständige Feststellung des Sachverhalts (Bst. b) und die Unangemessenheit (Bst. c) gerügt werden. Die Beschwerdeführerin ruft alle diese Beschwerdegründe an (Beschwerde, Ziff. 10).</w:t>
      </w:r>
    </w:p>
    <w:p>
      <w:r>
        <w:rPr>
          <w:b/>
        </w:rPr>
        <w:t>E. 2</w:t>
      </w:r>
    </w:p>
    <w:p>
      <w:r>
        <w:t>In formeller Hinsicht stellt die Beschwerdeführerin drei als Verfahrensanträge bezeichnete Begehren, die sich auf die ordnungsgemässe Führung dieses Verfahrens beziehen.</w:t>
      </w:r>
    </w:p>
    <w:p>
      <w:r>
        <w:rPr>
          <w:b/>
        </w:rPr>
        <w:t>E. 2.1</w:t>
      </w:r>
    </w:p>
    <w:p>
      <w:r>
        <w:t>Der erste Antrag betrifft den Beizug der vorinstanzlichen Akten. Das Bundesverwaltungsgericht hat hier im Rahmen des vom Untersuchungsprinzip (Art. 12 VwVG) beherrschten Beschwerdeverfahrens die Akten der Vorinstanz sowie die fraglichen Stellungnahmen beigezogen.</w:t>
      </w:r>
    </w:p>
    <w:p>
      <w:r>
        <w:rPr>
          <w:b/>
        </w:rPr>
        <w:t>E. 2.2</w:t>
      </w:r>
    </w:p>
    <w:p>
      <w:r>
        <w:t>Die beiden weiteren Verfahrensanträge, welche im Ergebnis auf die Wahrung der Geschäftsgeheimnisse der Beschwerdeführerin zielen, sind im Rahmen der Verfahrensführung zu berücksichtigen. Das Bundesverwaltungsgericht hat Entscheide grundsätzlich anonymisiert zu veröffentlichen (Art. 29 Abs. 2 VGG i.V.m. Art. 4 Abs. 2 und Art. 8 des Informationsreglements für das Bundesverwaltungsgericht vom 11. Dezember 2006, SR 173.320.4). Es wird die für die Wettbewerbsbehörden nach Art. 25 Abs. 1 und 4 KG ex lege geltende Pflicht zur Wahrung von Geschäftsgeheimnissen sinngemäss ebenfalls zu befolgen haben.</w:t>
      </w:r>
    </w:p>
    <w:p>
      <w:r>
        <w:rPr>
          <w:b/>
        </w:rPr>
        <w:t>E. 3</w:t>
      </w:r>
    </w:p>
    <w:p>
      <w:r>
        <w:t>3.1.1 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3.1.2 Das Bundesgericht spricht sich aus ähnlichen Überlegungen generell gegen eine Anwendbarkeit des BGÖ für Verfahren wie das vorliegende aus: Das Verfahren auf Erlass einer Sanktionsverfügung (und damit auch dasjenige betreffend die Publikation des zugehörigen Entscheides) beschlage eben nicht die im Öffentlichkeitsgesetz im Vordergrund stehende Frage der passiven - auf Gesuch hin erfolgenden -, sondern die durch den Gesetzgeber mit Art. 48 f. KG und Art. 19 DSG geregelte aktive Informationstätigkeit (BGE 142 II 268 "Nikon AG" E. 4.2.5.2). Insofern zielt die Berufung der Beschwerdeführerin auf Art. 7 Abs. 1 Bst. h BGÖ ins Leere. Hier ist nicht darüber zu urteilen, ob einem Dritten Zugang zu amtlichen Dokumenten gegeben werden könne, sondern über die durch den Gesetzgeber mit den genannten Bestimmungen der Artikel 48 f. KG und 19 DSG vorgegebene Interessenabwägung zu entscheiden. Selbst im gegenteiligen Fall wäre die Berufung auf Art. 7 Abs. 1 Bst. h BGÖ nicht stichhaltig: Gemäss dieser Bestimmung wird der Zugang zu amtlichen Dokumenten eingeschränkt, aufgeschoben oder verweigert, wenn durch seine Gewährung Informationen vermittelt werden könnten, die der Behörde von Dritten freiwillig mitgeteilt wurden und deren Geheimhaltung die Behörde zugesichert hat. Hier handelt es sich um eine Ausnahme vom Öffentlichkeitsprinzip, welche insofern in einem Spannungsverhältnis zu diesem selbst steht, als die Zugänglichkeit nicht vom Willen eines Dritten abhängen soll (Cottier/Schweizer/Widmer, in: Brunner/Mader [Hrsg.], Öffentlichkeitsgesetz, Stämpflis Handkommentar, N. 46 zu Art. 7 BGÖ; BSK BGÖ-Häner, N. 47 zu Art. 7 BGÖ). Die deshalb restriktiv zu handhabende Ausnahme setzt dreierlei voraus: Die fragliche Information stammt (1.) von einer Privatperson (d.h. nicht von einer Behörde), erfolgt (2.) freiwillig (also ohne gesetzliche oder vertragliche Verpflichtung) und (3.) die Zusicherung der Vertraulichkeit wurde ausdrücklich verlangt und ebenso ausdrücklich abgegeben - die Verwaltung soll von sich aus keine Vertraulichkeit zusichern, und die Annahme eines stillschweigenden Begehrens oder einer stillschweigenden Zusicherung darf nur äusserst zurückhaltend erfolgen (Urteil des BVGer A-629/2013 vom 28. Oktober 2014 E. 7.3.4 [Schriftlichkeitserfordernis entgegen der Vorinstanz {Empfehlung des EDÖB vom 17. September 2013 Rz. 25} offen gelassen]; BVGE 2013/50 E. 8.3; BVGE 2011/52 E. 6.3.3). Die Beschwerdeführerin macht weder ein ausdrückliches Begehren, noch eine ausdrückliche, individuell-konkrete Zusicherung geltend, sondern beruft sich in allgemeiner Art auf eine im Konjunktiv gehaltene Stellungnahme in der Lehre (Bangerter, in: Amstutz/Reinert [Hrsg.], Kartellgesetz, Basler Kommentar, N 75 zu Art. 25 KG; Beschwerde, Ziff. 14). Die Erfordernisse des Art. 7 Abs. 1 lit. h BGÖ sind vorliegend nicht erfüllt, selbst wenn man annähme, die Vorinstanz auferlege sich mit ihren generellen Ankündigungen auf ihrer Website nach Treu und Glauben gewisse Verpflichtungen zu ihrer Verfahrensführung - dass sie sich an die (inzwischen) mit dem Merkblatt "Bonusregelung (Selbstanzeige)" vom 8. September 2014 (BBl 2015 3346 ff.) festgehaltenen Maximen (Ziff. 47 ff.) nicht gehalten hätte, wird nicht behauptet (dazu nachstehend, E. 3.8). Die Beschwerdeführerin kann somit nicht unter Berufung auf diese Ausnahmebestimmung des BGÖ generell die Zugänglichmachung der Sanktionsverfügung gegenüber dem Publikum verhindern.</w:t>
      </w:r>
    </w:p>
    <w:p>
      <w:r>
        <w:rPr>
          <w:b/>
        </w:rPr>
        <w:t>E. 3.2</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3.1.1) skizzierte Transparenzgebot im Kartellrecht (Tercier/Martenet, in: Martenet/Bovet/Tercier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und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(Urteile des BGer 2C_929/2010 vom 13. April 2011 E. 5.2.1; 2C_359/2012 vom 1. November 2012 E. 3.2).</w:t>
      </w:r>
    </w:p>
    <w:p>
      <w:r>
        <w:rPr>
          <w:b/>
        </w:rPr>
        <w:t>E. 3.3</w:t>
      </w:r>
    </w:p>
    <w:p>
      <w:r>
        <w:t>Das Bundesgericht erkennt angesichts der übereinstimmenden Zwecke eine Parallelität zwischen der Publikation der Entscheide der WEKO einerseits und jener der Gerichte anderseits (BGE 142 II 268 "Nikon AG" E. 4.2.5.4). Diese Parallelität besteht auch aufgrund einer grundsätzlicheren Überlegung.</w:t>
      </w:r>
    </w:p>
    <w:p>
      <w:r>
        <w:rPr>
          <w:b/>
        </w:rPr>
        <w:t>E. 3.3.1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Urteil 2C_1065/2014 "Nikon AG" E. 8.2, nicht publ. in BGE 142 II 268; eingehend Urteil B-7633/2009 "Swisscom ADSL" vom 14. September 2015 Rz. 58-64; siehe auch Urteil B-506/2010 "Gaba International AG" E. 6.1.3).</w:t>
      </w:r>
    </w:p>
    <w:p>
      <w:r>
        <w:rPr>
          <w:b/>
        </w:rPr>
        <w:t>E. 3.3.2</w:t>
      </w:r>
    </w:p>
    <w:p>
      <w:r>
        <w:t>Die für ein Strafverfahren geltenden Grundrechtsgarantien schliessen mit Wirkung auch für das Kartellverfahren die Unschuldsvermutung mit ein (Art. 6 Abs. 2 EMRK; Art. 32 Abs. 2 BV; Urteil B-506/2010 "Gaba International AG", E. 6.1.3; Zwischenverfügung B-6180/2013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3.3.3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werden.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143 I 194 "Obergericht Zürich" E. 3.1 und E. 3.4.3; Urteile des BGer 1C_123/2016 vom 21. Juni 2016 "Skeletonbahn" E. 3.5.1, auch in: sic! 2016, 517 ff. sowie MediaLex Newsletter 7/8 2016 resp. Jahrbuch 2016, 97 mit Anmerkung Strebel und 2C_677/2015 vom 31. März 2016 [=Pra 2016 Nr. 96] "Belarus" E. 4.1; Müller/Schefer, a.a.O., S. 976 ff.; Kley/Tophinke, in: Ehrenzeller/Schweizer/Schindler/Vallender [Hrsg.], Die schweizerische Bundesverfassung, St. Galler Kommentar, 3. Aufl. 2014, N 36 zu Art. 16 BV; Steinmann, ebenda, N 61 f. zu Art. 30 BV).</w:t>
      </w:r>
    </w:p>
    <w:p>
      <w:r>
        <w:rPr>
          <w:b/>
        </w:rPr>
        <w:t>E. 3.3.4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3.3.5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3.3.6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3.3.2;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3.4</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1.7).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Moser/Beusch/Kneubühler, a.a.O., Rz. 2.153 ff.).</w:t>
      </w:r>
    </w:p>
    <w:p>
      <w:r>
        <w:rPr>
          <w:b/>
        </w:rPr>
        <w:t>E. 3.5</w:t>
      </w:r>
    </w:p>
    <w:p>
      <w:r>
        <w:t>Verstösst die Handhabung des Ermessens gegen den Grundsatz der Verhältnismässigkeit, so ist einer derjenigen Grundsätze verletzt, welche die Annahme eines Ermessensmissbrauchs rechtfertigen (BGE 142 II 268 "Nikon AG" E. 4.2.3; BGE 137 V 71 E. 5.1). Der Verhältnismässigkeitsgrundsatz gebietet somit insbesondere die Bindung des Verwaltungshandelns an die Zweckbestimmung der Ermessenseinräumung (Moor/Flückiger/Martenet, Droit administratif, 3e éd. 2012, vol. I, S.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3.6</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3.7</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A-6315/2014, A-6320/2014 und A-6334/2014 je E. 12.1).</w:t>
      </w:r>
    </w:p>
    <w:p>
      <w:r>
        <w:rPr>
          <w:b/>
        </w:rPr>
        <w:t>E. 3.8</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3.9</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4.1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 ein vernünftiges Verhältnis resultieren (vorne, E. 3.4 und 3.5). Die Ermessensausübung erfolgt unabhängig von der Publikationspraxis der Europäischen Kommission (vorne, E. 3.9).</w:t>
      </w:r>
    </w:p>
    <w:p>
      <w:r>
        <w:rPr>
          <w:b/>
        </w:rPr>
        <w:t>E. 4.2</w:t>
      </w:r>
    </w:p>
    <w:p>
      <w:r>
        <w:t>Den vorstehend (E. 3.2)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3.3).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3.3.6).</w:t>
      </w:r>
    </w:p>
    <w:p>
      <w:r>
        <w:rPr>
          <w:b/>
        </w:rPr>
        <w:t>E. 4.3</w:t>
      </w:r>
    </w:p>
    <w:p>
      <w:r>
        <w:t>Im Grundsatz ist sodann der Entscheid selbst - mit Sachverhalt, Erwägungen und Dispositiv - zu veröffentlichen (vorstehend, E. 3.3.4).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5.2)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4.4</w:t>
      </w:r>
    </w:p>
    <w:p>
      <w:r>
        <w:t>Damit kann die Vorinstanz die Sanktionsverfügung veröffentlichen. Die Veröffentlichung soll im Grundsatz vollständig erfolgen, sie hat jedoch auf die rechtmässig der Beschwerdeführerin zustehenden Einschränkungen Rücksicht zu nehmen (BGE 142 II 268 "Nikon AG", E. 4.2.6), das sind namentlich der Schutz von Geschäftsgeheimnissen (Art. 25 Abs. 4 KG, vorstehend E. 3.6), aber auch die gebotene Rücksichtnahme auf schutzwürdige persönliche Interessen der Beschwerdeführerin (vorne, E. 3.3.4 und, zu Art. 19 Abs. 4 DSG, E. 3.7). Die Erstgenannten sind absolut zu schützen, die Zweitgenannten in einem Umfang, der aufgrund einer Verhältnismässigkeitsprüfung festzulegen ist (vorne, E. 3.7). In diesem Rahmen ist auch die besondere Situation der Beschwerdeführerin als Selbstanzeigerin zu beachten. Diese gebietet es zwar, mit deren Angaben schonungsvoll umzugehen, von vornherein auf eine Publikation zu verzichten, vermag sie indessen nicht zu rechtfertigen. Zu erinnern ist auch daran, dass der Effekt einer Reputationsstrafe nicht zu den verfolgten Zwecken gehört (E. 3.1.1).</w:t>
      </w:r>
    </w:p>
    <w:p>
      <w:r>
        <w:rPr>
          <w:b/>
        </w:rPr>
        <w:t>E. 5</w:t>
      </w:r>
    </w:p>
    <w:p>
      <w:r>
        <w:t>Die Beschwerdeführerin macht als entgegenstehende Interessen namentlich den Schutz vor Zivilklagen in ausländischen Jurisdiktionen geltend und deutet einen Bezug zum Anliegen des Schutzes der Selbstanzeige als Institut an.</w:t>
      </w:r>
    </w:p>
    <w:p>
      <w:r>
        <w:rPr>
          <w:b/>
        </w:rPr>
        <w:t>E. 5.1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3.9) rein spekulativer Natur.</w:t>
      </w:r>
    </w:p>
    <w:p>
      <w:r>
        <w:rPr>
          <w:b/>
        </w:rPr>
        <w:t>E. 5.2</w:t>
      </w:r>
    </w:p>
    <w:p>
      <w:r>
        <w:t>Angesichts der Argumentation der Beschwerdeführerin ist gleichwohl ein Blick auf die Sanktionsverfügung zu richten.</w:t>
      </w:r>
    </w:p>
    <w:p>
      <w:r>
        <w:rPr>
          <w:b/>
        </w:rPr>
        <w:t>E. 5.2.1</w:t>
      </w:r>
    </w:p>
    <w:p>
      <w:r>
        <w:t>Mit der Sanktionsverfügung wurde den Sanktionierten - u.a. der Beschwerdeführerin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5.2.2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teils geographisch, mit Fokus auf den Markt, von dem aus Absprachen getroffen wurden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5.2.3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 da nur auf gewissen Strecken relevant, soweit erkennbar aber nicht deckungsgleich mit den genannten fünf Streckenpaaren [resp.]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den USA, Singapur, der Tschechischen Republik [bis Mai 2004], Pakistan und Vietnam anderseits), welche Grundlage für Verbot und Sanktion sind [...].</w:t>
      </w:r>
    </w:p>
    <w:p>
      <w:r>
        <w:rPr>
          <w:b/>
        </w:rPr>
        <w:t>E. 5.2.4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5.3</w:t>
      </w:r>
    </w:p>
    <w:p>
      <w:r>
        <w:t>Die Vorinstanz hält dafür, ihre Sachverhaltsdarstellung sei unschädlich, da die Selbstanzeigerinnen (und damit auch die Beschwerdeführerin) anonymisiert seien,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5.3.1</w:t>
      </w:r>
    </w:p>
    <w:p>
      <w:r>
        <w:t>Die Vorinstanz bezeichnet Tarifabsprachen auf Luftfrachtbeziehungen ausserhalb der mehrfach erwähnten fünf Streckenpaare in Auslegung des Landes- und Staatsvertragsrechts als zulässig, soweit sie zuständig zu deren Beurteilung war (vorne, E. 5.2).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5.2.1).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5.3.2</w:t>
      </w:r>
    </w:p>
    <w:p>
      <w:r>
        <w:t>Die Anonymisierung beschränkt sich auf die Selbstanzeigerinnen und auf Angaben, welche diese einschliessen, insbesondere solche, die von "allen" Parteien sprechen. Allerdings ist nicht nur mit der Mitteilung zur Verfahrenseröffnung (BBl 2006 2707 [Bundesblatt vom 7. März 2006]) bekannt, wer von der Untersuchung betroffen ist, sondern mit Medienmitteilung und Presserohstoff auch, um wen es sich bei den Selbstanzeigerinnen handelte und wer sanktioniert wurde. Mit dieser von der Vorinstanz öffentlich gemachten Hintergrundinformation erweist sich die Anonymisierung an einigen Stellen als einfach durchschaubar. Bereits als nicht mit der Branche Vertrauter ist man in der Lage, diverse geschwärzte "alle" sprachlich zu rekonstruieren [...]. Die nur teilweise Anonymisierung führt dazu, dass Passagen wie "Einzig [Name] führte bis im Mai 2002 keine Treibstoffzuschläge ein" [...] eine Aussage darüber ablegen, wer dies eben doch tat. Mit etwas Insiderwissen - etwa dem über die Mitglieder beim X._______ - können etwa in [...] die adressierten Mitglieder ergänzt werden oder dürfte bekannt sein, was unter "Y._______"-Gruppe [...] verstanden wird. Es liegt auf der Hand, dass mit zunehmendem Insider-Wissen der Anteil rekonstruierbarer Informationen ansteigt, ebenso, dass potentielle Schadenersatzkläger überwiegend mit der Branche vertraut sein und somit über eben solches Wissen verfügen dürften. Erfahrungsgemäss ist kaum eine Anonymisierung insofern vollständig, als ausgeschlossen werden kann, dass ein Leser mit Hintergrundwissen auf die Parteien rückschliessen kann. In gewissem Ausmass ist das zu dulden (vgl. vorne, E. 3.3.4). Die Problematik des vorliegenden Falles weicht indessen von der gängigen Problemlage ab: Üblicherweise gilt es mit der Anonymisierung zu vermeiden, dass eine nicht allgemein bekannte Person einem beurteilten Sachverhalt zugeordnet werden kann. Hier jedoch sind die Parteien seit Verfahrenseröffnung namentlich bekannt und es weiss durch Medienmitteilung und Presserohstoff auch jede und jeder Interessierte, welche Gesellschaften sanktioniert wurden und welche von einem Nachlass infolge Selbstanzeige profitieren konnten. Nachdem die Rechtsprechung Sachverhalten den Status als Geschäftsgeheimnis verwehrt hat, für welche eine Sanktion ausgesprochen wurde (BGE 142 II 268 "Nikon AG" E. 5.2.2. m.w.H.; vgl. vorne, E. 3.6) ist dies für diese Sachverhalte hinzunehmen - soweit weiteren persönlichen Interessen nicht aufgrund einer Interessenabwägung Vorrang einzuräumen ist. Problematisch ist vorliegend, dass die Sachverhaltsschilderung und weite Strecken der rechtlichen Würdigung die Zuordnung der Parteien (und damit der Beschwerdeführerin) zu einem ganzen Sachverhaltskomplex mit sich bringt, der (obwohl für einen Teil der Rechtsgrundlagen als widerrechtlich erklärt) nicht Grundlage für eine Sanktion war. Aus der Optik der Entscheidredaktion ist das, wie gesagt (E. 5.2.4), nicht zu beanstanden.</w:t>
      </w:r>
    </w:p>
    <w:p>
      <w:r>
        <w:rPr>
          <w:b/>
        </w:rPr>
        <w:t>E. 5.3.3</w:t>
      </w:r>
    </w:p>
    <w:p>
      <w:r>
        <w:t>Die Beschwerdeführerin kann damit aber - des Versuches der Anonymisierung zum Trotz - mit Abreden in Verbindung gebracht werden, die nach der Auffassung der Vorinstanz in teils globalem, teils internationalem Kontext abgeschlossen worden und zumindest nach dem EU-Luftverkehrsabkommen und dem Kartellgesetz als illegal einzustufen seien. Sie ist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kann die Beschwerdeführerin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5.3.4</w:t>
      </w:r>
    </w:p>
    <w:p>
      <w:r>
        <w:t>Die Beschwerdeführerin sieht sich mit einer Schilderung von als global gesehen widerrechtlich bezeichnetem Verhalten konfrontiert, wird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5.2.4).</w:t>
      </w:r>
    </w:p>
    <w:p>
      <w:r>
        <w:rPr>
          <w:b/>
        </w:rPr>
        <w:t>E. 5.4</w:t>
      </w:r>
    </w:p>
    <w:p>
      <w:r>
        <w:t>Die Vorinstanz äussert sich in ihren Stellungnahmen zu den nicht sanktionierten Strecken nur insoweit, als sie kein Schädigungspotenzial in einer Schilderung zu erkennen vermag, welche die Absprachen auf den meisten aussereuropäischen Verkehrsverbindungen als rechtens bezeichnet (Duplik, Ziff. 10). Zu den Strecken, welche sie nicht beurteilt, weil sie die Europäische Kommission dafür als zuständig erachtet, äussert sie sich in diesem Verfahren nicht. Hierzu ist zu bemerken, dass die Frage, welche Strecken ihrer Beurteilung entzogen sind, zu den wesentlichen Fragen des Entscheides gehört: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5.3.3,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Eine rechtskräftige Sanktionierung durch die Europäische Kommission ist bis dato nicht erfolgt (vorne, Bst. D). Eine Information der Öffentlichkeit in dieser Form lässt für den Bereich der Verkehrsbeziehungen mit Staaten der Europäischen Union die gebotene Zurückhaltung vermissen (vgl. vorne, E. 3.3.2 und E. 3.3.6).</w:t>
      </w:r>
    </w:p>
    <w:p>
      <w:r>
        <w:rPr>
          <w:b/>
        </w:rPr>
        <w:t>E. 5.5</w:t>
      </w:r>
    </w:p>
    <w:p>
      <w:r>
        <w:t>Wie erheblich die Risiken von Zivilprozessen aufgrund der Sanktionsverfügung wären, ist hier nicht abschliessend zu beurteilen. Die Annahme der Vorinstanz jedenfalls, ihre Verfügung tauge vor Eintritt der Rechtskraft nicht als Grundlage eines Zivilprozesses (Vernehmlassung, Ziff. 12), verkennt die internationale Tragweite des Sachverhalts, auf die sich die Beschwerdeführerin bezieht.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gerade auch aufgrund diverser Bezugnahmen der Sanktionsverfügung auf die Selbstanzeigen (bspw. Ziff. 207, Einleitungssatz) nahe, dass allfällige Belege jedenfalls bei den Selbstanzeigerinnen auffindbar sein dürften. Dieses Risiko hätte die Beschwerdeführerin für jene Geschäftsbereiche, welche sanktioniert wurden, zu gewärtigen; für die überschiessenden Feststellungen ist diese Belastung erheblich und in ihrem Interesse zu gewichten. In diesem Zusammenhang ist daran zu erinnern, dass das Prozessrisiko auch unter dem Aspekt des Schutzes der Selbstanzeige als Institut ein relevanter Faktor ist (vgl. vorne, E. 3.8). Gerade wenn die Berechenbarkeit von Prozessrisiken als schützenswerter Aspekt bei der Entschlussfassung über eine Selbstanzeige gilt, kann nicht angehen, Selbstanzeigerinnen prozessualen Risiken auszusetzen, die ihren Ursprung in nicht sanktionierten und nicht sanktionierbaren Verhaltensweisen haben.</w:t>
      </w:r>
    </w:p>
    <w:p>
      <w:r>
        <w:rPr>
          <w:b/>
        </w:rPr>
        <w:t>E. 5.6.1</w:t>
      </w:r>
    </w:p>
    <w:p>
      <w:r>
        <w:t>Das Verbot der Doppelbestrafung respektive der Grundsatz "ne bis in idem" besagt, dass niemand wegen einer Straftat, wegen der er bereits nach dem Gesetz und dem Strafverfahrensrecht eines Staates rechtskräftig verurteilt oder freigesprochen worden ist, in einem Strafverfahren desselben Staates erneut verfolgt oder bestraft werden darf (vgl. Art. 4 des Protokolles Nr. 7 zur EMRK [SR 0.101.07]; Art. 14 Abs. 7 IPBPR [SR 0.103.2]; Art. 11 Abs. 1 StPO; BGE 137 IV 363 E. 2.1 S. 364 f.; Urteile des BGer 6B_823/2014 vom 23. Januar 2015 E. 2.3.1 und 6B_20/2014 vom 14. November 2014 E. 3.2; je mit Hinweisen).</w:t>
      </w:r>
    </w:p>
    <w:p>
      <w:r>
        <w:rPr>
          <w:b/>
        </w:rPr>
        <w:t>E. 5.6.2</w:t>
      </w:r>
    </w:p>
    <w:p>
      <w:r>
        <w:t>Abgesehen von der Frage, ob der Grundsatz überhaupt transnationale Geltung beanspruchen kann (für die Schweiz gilt dies aufgrund staatsvertraglicher Regelung vorab für den Schengenraum [Art. 54 des Schengener Durchführungsübereinkommens, SDÜ, Amtsblatt der EU Nr. L 239 vom 22/09/2000 S. 0019-0062, in der SR nicht publiziert; Urteil des BGer 1B_56/2017 vom 8. März 2017, E. 2.1; Wohlers, in: Donatsch/Hansjakob/Lieber (Hrsg.), Kommentar zur Schweizerischen Strafprozessordnung (StPO), 2.A. 2014, N 4 ff., insb. N 6 f. zu Art. 11 StPO]), setzt die Anwendung des Grundsatzes voraus, dass in beiden fraglichen Verfahren über die Ausfällung von Strafen im Sinne von Art. 6 EMRK geurteilt wird, was beispielsweise für administrative oder disziplinarische Sanktionen ohne Strafcharakter regelmässig verneint wird (Wohlers, a.a.O. N 9 f zu Art. 11 StPO; vgl. die eingehende Diskussion zu Administrativmassnahmen im Strassenverkehr in BGE 137 I 363 E. 2, sowie Urteil 6B_20/2014 E. 3.2).</w:t>
      </w:r>
    </w:p>
    <w:p>
      <w:r>
        <w:rPr>
          <w:b/>
        </w:rPr>
        <w:t>E. 5.6.3</w:t>
      </w:r>
    </w:p>
    <w:p>
      <w:r>
        <w:t>Die Berufung der Beschwerdeführerin auf diesen Grundsatz geht fehl. Die Publikation der Sanktionsverfügung verfolgt keinen Strafzweck (vorne, E. 3.2 a.E.); sie ist letztlich das Surrogat der öffentlichen Urteilsverkündung (vorne E. 3.3) selbst dann, wenn - wie vorliegend - in einer eigenständigen Verfügung gemäss Art. 25a VwVG darüber entschieden wird. Zivilrechtliche Haftungsansprüche mutmasslich Geschädigter stellen keine Strafen im Sinne dieses Grundsatzes dar, sie dienen dem Ausgleich des durch eine unerlaubte Handlung verursachten Schadens. Sollten in einem Staat, in Bezug zu welchem der Grundsatz "ne bis in dem" transnationale Geltung geniesst - und damit die Sanktionsverfügung Bindungswirkung entfaltet - zivilrechtliche Ansprüche ohne Kompensations- aber mit Strafcharakter erhoben werden, ist dies im betreffenden, nachgelagerten Verfahren vorzubringen, denn die Anrufung des Doppelbestrafungsverbotes setzt die rechtskräftige Aburteilung voraus (Urteile des BGer 1B_56/2017 E. 2.2 und 6B_482/2017 vom 17. Mai 2017 E. 4.1). Die blosse Möglichkeit, dass eine Klage auf solche Ansprüche drohen könnte, kann für das verurteilende Erstverfahren (zu dem die Publikation, wie gesagt, gehört) folglich keinen bestimmenden Einfluss haben. Ähnliches gilt für die Möglichkeit einer Solidarhaftung. Sollte eine solche bestehen, handelte es sich im Übrigen um eine materiell-zivilrechtliche Modalität des Schadensausgleichs, welche gegebenenfalls in der Auseinandersetzung mit den weiteren Solidarschuldnern zu klären wäre.</w:t>
      </w:r>
    </w:p>
    <w:p>
      <w:r>
        <w:rPr>
          <w:b/>
        </w:rPr>
        <w:t>E. 6.1</w:t>
      </w:r>
    </w:p>
    <w:p>
      <w:r>
        <w:t>In ihrer Summe halten die mit der Publikation verbundenen Beeinträchtigungen dem Gebot der Verhältnismässigkeit (vorne, E. 3.5) nicht stand. Die Eignung der Publikation zur Zweckerreichung steht zwar ausser Frage (vorne, E. 4). Die entgegenstehenden Interessen (E. 5) - sowohl die Beeinträchtigungen ihrer Persönlichkeit, welche die Beschwerdeführerin bei einer Publikation in dieser Form hinzunehmen hat, wie auch das Interesse am Schutz der Selbstanzeige als Institut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3.4 f.).</w:t>
      </w:r>
    </w:p>
    <w:p>
      <w:r>
        <w:rPr>
          <w:b/>
        </w:rPr>
        <w:t>E. 6.2</w:t>
      </w:r>
    </w:p>
    <w:p>
      <w:r>
        <w:t>In der angefochtenen Form kann die Verfügung vom 2. Dezember 2013 nicht publiziert werden. Die Publikationsversion ist so zu modifizieren, dass sich die Beschwerdeführerin nicht mit einer Darstellung konfrontiert sieht, welche sie bezüglich anderer Strecken als den fünf sanktionierten Streckenpaaren in zuordenbarer Weise mit kartellrechtlich verpönten Verhaltensweisen in Bezug bringt. Neben den eigentlichen Geschäftsgeheimnissen im engeren Sinne (vorne, E. 3.6 und E. 3.7 Abs. 2) besteht somit ein weiterer Schwärzungstatbestand bezüglich Sachverhaltsfeststellungen und rechtlicher Festlegungen, welche zum Entscheiddispositiv nicht beitragen - eigentlicher obiter dicta also.</w:t>
      </w:r>
    </w:p>
    <w:p>
      <w:r>
        <w:rPr>
          <w:b/>
        </w:rPr>
        <w:t>E. 6.3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 zu berücksichtigen. In Frage kommen neben der zu verwerfenden alleinigen weitergehenden Anonymisierung die Erstellung einer Zusammenfassung, eine Kürzung oder Kombinationsformen (vorne, E. 3.3.4 und 3.3.5). Mit Blick auf das gewichtige Interesse der Öffentlichkeit, allgemeine und verallgemeinerungsfähige Abschnitte der Begründung im Originalwortlaut zu Kenntnis nehmen zu können, aber auch auf das Anliegen der Verständlichkeit, ist die Publikation in einer Kombinationsform ins Auge zu fassen.</w:t>
      </w:r>
    </w:p>
    <w:p>
      <w:r>
        <w:rPr>
          <w:b/>
        </w:rPr>
        <w:t>E. 6.4</w:t>
      </w:r>
    </w:p>
    <w:p>
      <w:r>
        <w:t>Es ist folglich eine Version zu erstellen, in der die integral zu publizierenden Passagen der Sanktionsverfügung (E. 6.3) im Originalwortlaut zu publizieren sind. Passagen, deren Veröffentlichung die Beschwerdeführerin nicht dulden muss (E. 6.2),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 nicht im vorstehend umschriebenen Sinne mit globalen, jedenfalls die fünf sanktionierenden Strecken überschiessenden, Absprachen direkt in Bezug gesetzt werden kann (namentlich und ohne Anspruch auf Vollständigkeit [...]).</w:t>
      </w:r>
    </w:p>
    <w:p>
      <w:r>
        <w:rPr>
          <w:b/>
        </w:rPr>
        <w:t>E. 6.5</w:t>
      </w:r>
    </w:p>
    <w:p>
      <w:r>
        <w:t>Im Rahmen der Redaktion einer neuen Publikationsversion sind auch die von der Beschwerdeführerin mit dem Schreiben vom 31. März 2014 (vi-act. 112) vorgebrachten Schwärzungsanträge zu beurteilen und allenfalls - begründet - zu verwerfen.</w:t>
      </w:r>
    </w:p>
    <w:p>
      <w:r>
        <w:rPr>
          <w:b/>
        </w:rPr>
        <w:t>E. 7</w:t>
      </w:r>
    </w:p>
    <w:p>
      <w:r>
        <w:t>Im Regelfall soll das Bundesverwaltungsgericht in der Sache selbst entscheiden und nur ausnahmsweise die Angelegenheit (mit verbindlichen Weisungen) an die Vorinstanz zurückweisen (Art. 61 Abs. 1 VwVG). Die angefochtene Publikationsverfügung ist nach dem Gesagten (E. 6) aufzuheben. Die Publikationsverfügung wie auch eine Publikationsversion sind neu zu erstellen. Dabei sind in Ausübung pflichtgemässen Ermessens weitgehende Anonymisierungen, Paraphrasierungen, allenfalls auch Kürzungen oder Weglassungen vorzunehmen sowie die Schwärzungsanträge der Beschwerdeführerin zu beurteilen.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der Beschwerdeführerin anderseits die Möglichkeit offenzuhalten, einen solchen Entscheid wiederum vor einem Gericht mit voller Kognition anzufechten (vgl. Weissenberger/Hirzel, in: Waldmann/Weissenberger (Hrsg.), Praxiskommentar VwVG, 2. Aufl. 2016, N. 17 zu Art. 61 VwVG; Kiener/Rütsche/Kuhn, a.a.O., N 1647, 1650; Camprubi, in: Auer/Müller/Schindler (Hrsg.), Kommentar zum Bundesgesetz über das Verwaltungsverfahren (VwVG), 2008, N. 11 f. zu Art. 61 VwVG; Moser/Beusch/Kneubühler a.a.O., N. 3.193 ff., insb. 3.195).</w:t>
      </w:r>
    </w:p>
    <w:p>
      <w:r>
        <w:rPr>
          <w:b/>
        </w:rPr>
        <w:t>E. 8</w:t>
      </w:r>
    </w:p>
    <w:p>
      <w:r>
        <w:t>Die Angelegenheit ist nach alledem an die Vorinstanz zurückzuweisen. Sie hat eine neue Publikationsversion zu erstellen, die den einander entgegenstehenden Interessen (vorstehend, E. 4, 5 und 6.4) gerecht wird und gegebenenfalls i.S.v. Art. 25a VwVG über eine neue Fassung der Publikationsverfügung mit Publikationsversion zu entscheiden.</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(Urteil des BVGer A-3763/2011 vom 3. Juli 2012 E. 14.1, m.w.H.). Vorinstanzen werden keine Verfahrenskosten auferlegt (Art. 63 Abs. 2 VwVG).</w:t>
      </w:r>
    </w:p>
    <w:p>
      <w:r>
        <w:rPr>
          <w:b/>
        </w:rPr>
        <w:t>E. 9.2</w:t>
      </w:r>
    </w:p>
    <w:p>
      <w:r>
        <w:t>Die Beschwerdeführerin unterliegt mit ihrem Hauptbegehren - dem Untersagen einer Publikation der Sanktionsverfügung im Grundsatz - und ihren Eventualanträgen, soweit diese einen Aufschub der Publikation bis zum Eintritt der Rechtskraft der Sanktionsverfügung verlangen. Demgegenüber obsiegt sie im vorstehend geschilderten Sinne insoweit mit ihrem Eventualantrag, als eine neuerliche Überarbeitung der Publikationsverfügung gefordert wird - wenn auch nicht mittels Übernahme, so doch unter Berücksichtigung ihrer Schwärzungsanträge. Teilweises Unterliegen bringt eine Reduktion der der Beschwerdeführerin aufzuerlegenden Verfahrenskosten mit sich. Grundsätzlich ist dabei auf das Verhältnis von Obsiegen zu Unterliegen abzustellen (Maillard, in: Waldmann/Weissenberger (Hrsg.), Praxiskommentar VwVG, 2. Aufl. 2016, N. 14 zu Art. 63 VwVG; Kiener/Rütsche/Kuhn, a.a.O., N 1673; Beusch, in Auer/Müller/Schindler (Hrsg.), Kommentar zum Bundesgesetz über das Verwaltungsverfahren (VwVG), 2008, N. 11, 13. zu Art. 63 VwVG). Das Verhältnis von Unterliegen und Obsiegen ist vorliegend nicht quantifizierbar, weshalb im Sinne eines pragmatischen Schematismus' von je hälftigem Obsiegen und Unterliegen ausgegangen wird. Die Gerichtsgebühr wird festgesetzt auf Fr. 1'500.- (Art. 3 lit. b des Reglements über die Kosten und Entschädigungen vor dem Bundesverwaltungsgericht, SR 173.320.2, VGKE) und der Beschwerdeführerin folglich im Umfang von 50 %, also Fr. 750.-, auferlegt. Der Betrag wird dem von der Beschwerdeführerin geleisteten Vorschuss von Fr. 1'500.- entnommen. Die restanzlichen Fr. 750.- des Vorschusses sind ihr nach Eintritt der Rechtskraft zurückzuerstatten.</w:t>
      </w:r>
    </w:p>
    <w:p>
      <w:r>
        <w:rPr>
          <w:b/>
        </w:rPr>
        <w:t>E. 9.3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 Die Beschwerdeführerin ist anwaltlich vertreten und obsiegt hälftig. Ihr ist daher eine reduzierte Parteientschädigung für die ihr entstandenen notwendigen Kosten zuzusprechen. Da der Rechtsvertreter keine Kostennote eingereicht hat, ist die Parteientschädigung aufgrund der Akten festzusetzen (Art. 14 Abs. 2 Satz 2 VGKE). Eine Parteientschädigung in der Höhe von Fr. 4'500.-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