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B-5909/2008 vom 19. Januar 2009</w:t>
      </w:r>
    </w:p>
    <w:p>
      <w:r>
        <w:t>Bundesverwaltungsgericht, 2009-01-19, FR</w:t>
      </w:r>
    </w:p>
    <w:p>
      <w:r>
        <w:rPr>
          <w:b/>
        </w:rPr>
        <w:t xml:space="preserve">Quelle: </w:t>
      </w:r>
      <w:r>
        <w:t>https://mcp.opencaselaw.ch/entscheid/bvger_B-5909_2008</w:t>
      </w:r>
    </w:p>
    <w:p>
      <w:r>
        <w:t>FR: TAF B-5909/2008 du 19 janvier 2009</w:t>
      </w:r>
    </w:p>
    <w:p>
      <w:r>
        <w:t>IT: TAF B-5909/2008 del 19 gennaio 2009</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et art. 22a al. 1 let. b PA ; art. 50 et 52 al. 1 PA), ainsi que les autres conditions de recevabilité (art. 44 ss)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 a) si le requérant peut expliquer le contenu et la portée de l'exigence morale invoquée et pour quelles raisons cette exigence a pour lui un caractère impératif ; b) quels événements et quelles influences ont fait naître et se développer le conflit de conscience invoqué ; c) si le requérant concrétise cette exigence morale dans d'autres domaines de sa vie et si oui comment ; d) de quelle façon le conflit de conscience invoqué influe sur l'état général et sur la manière de vivre du requérant ;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Feuille fédérale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HÄFELIN/GEORG MÜLLER/FELIX UHLMANN, Allgemeines Verwaltungsrecht, 5e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les références citées ; HÄFELIN/MÜLLER/UHLMANN, op. cit., p. 95, n° 446c ss). Selon la jurisprudence, il serait contraire au système légal que l'autorité de recours substitue son propre pouvoir d'appréciation à celui de la Commission d'admission, au vu du rôle central dévolu à l'audition et faute de disposer de connaissances spéciales et spécifiques (arrêt du Tribunal administratif fédéral du 6 août 2007 B-1452/2007 consid. 4).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(arrêt du Tribunal administratif fédéral du 6 août 2007 B-1452/2007 consid. 4 ; JAAC 64.130 consid. 6.1).</w:t>
      </w:r>
    </w:p>
    <w:p>
      <w:r>
        <w:rPr>
          <w:b/>
        </w:rPr>
        <w:t>E. 5</w:t>
      </w:r>
    </w:p>
    <w:p>
      <w:r>
        <w:t>Il convient tout d'abord de constater que le recourant ne prétend pas que la décision attaquée violerait le droit fédéral, qu'elle serait constitutive d'un abus du pouvoir d'appréciation ou qu'elle reposerait sur des exigences trop élevées. Il ne prétend pas davantage que la Commission d'admission aurait constaté les faits de manière incomplète ou inexacte ni que la décision querellée serait inopportune. B._______ invoque en revanche quatre arguments à l'appui de son recours. Il fait premièrement valoir que, s'il n'a pas réussi à rendre son discours cohérent, c'est parce qu'il n'a pas dit toute la vérité à la Commission d'admission. Il évoque deuxièmement son passé violent et le fait que le service civil lui permettrait de prendre un nouveau départ. Il relève ensuite que le service militaire ne ferait qu'affecter son épanouissement. Enfin, il soutient que la Commission d'admission ferait une grave erreur de le placer dans l'armée suisse en raison du surnombre dans les rangs du service civil.</w:t>
      </w:r>
    </w:p>
    <w:p>
      <w:r>
        <w:rPr>
          <w:b/>
        </w:rPr>
        <w:t>E. 5.1</w:t>
      </w:r>
    </w:p>
    <w:p>
      <w:r>
        <w:t>Le recourant fait en premier lieu valoir que, s'il n'a pas réussi à rendre son discours cohérent, c'est parce qu'il n'a pas dit toute la vérité à la Commission d'admission. Lors de l'audition, les commissaires ont, d'une part, abordé tous les motifs principaux contenus dans la demande et, d'autre part, posé des questions propres à leur permettre de fonder leur appréciation finale sur l'ensemble des critères prévus dans la loi. Il appert également qu'ils se sont efforcés d'aider le recourant à exposer autant que possible les valeurs qui l'habitent et qui le conduisent à refuser de servir dans l'armée. Dans ces conditions, on doit bien constater que le recourant a eu la possibilité de s'exprimer librement lors de l'audition. De plus, on est en droit d'attendre d'un requérant au service civil qui fait valoir un conflit de conscience qu'il dise au moins toute la vérité. A défaut, il doit en assumer les conséquences.</w:t>
      </w:r>
    </w:p>
    <w:p>
      <w:r>
        <w:rPr>
          <w:b/>
        </w:rPr>
        <w:t>E. 5.2</w:t>
      </w:r>
    </w:p>
    <w:p>
      <w:r>
        <w:t>Le recourant explique que, étant depuis toujours entouré "de la plus forte et plus méchante compagnie", il a très souvent eu de gros problèmes liés aux bagarres et à la violence. Selon lui, intégrer le service civil lui permettrait de prendre un nouveau départ et de se racheter aux yeux des autres. Il souligne que, s'il a voulu effacer son passé violent, c'est en raison du fait qu'il n'en peut plus de toute cette violence qui l'habite. L'audition apparaissant comme le moment-clé de la procédure d'admission (voir dans ce sens Bulletin officiel de l'Assemblée fédéral [BO] 1995 E 712, 957), c'est au plus tard devant la Commission d'admission que le requérant doit rendre ses motifs crédibles. En effet, selon la jurisprudence, le recourant ne peut espérer que des motifs plausibles et détaillés, invoqués pour la première fois seulement devant l'instance de recours, soient pris en considération sans autre dans la procédure de recours qui est généralement écrite (décision de l'ancienne Commission de recours DFE [97/5C-003] du 5 septembre 1997 publiée in : JAAC 62.65 consid. 4.2 ; décision non publiée de l'ancienne Commission de recours DFE [5C/2005-27] du 21 septembre 2005 consid. 5). Comme relevé au consid. 4 ci-dessus, il serait dès lors contraire au système légal que le Tribunal administratif fédéral substitue son propre pouvoir d'appréciation à celui de la Commission d'admission et, cela, alors même qu'il ne dispose ni des connaissances spéciales ni des connaissances spécifiques de la personne du requérant. De fait, seules les personnes ayant assisté à l'audition sont à même de se prononcer valablement sur la question de la plausibilité (voir dans ce sens ATF 105 Ia 200 consid. 2c). Il ressort de ce qui précède que le requérant doit rendre ses motifs crédibles au plus tard devant la Commission d'admission. Ainsi, le passé violent du recourant invoqué pour la première fois dans le mémoire de recours doit être qualifié d'argument nouveau, de sorte qu'il ne peut en être tenu compte devant le Tribunal administratif fédéral. Au demeurant, il convient de relever que la Commission d'admission a essentiellement motivé son rejet de la demande d'admission au service civil en raison du fait que, bien qu'elle ait considéré que le respect de la vie invoqué par le recourant ait valeur d'exigence morale, ce dernier n'a toutefois pas donné de portée absolue et universelle à cette exigence en relativisant la valeur de la vie humaine. Il ressort des nouvelles déclarations du recourant que celui-ci souhaite se racheter une conduite et oublier son passé violent, ce qui ne constitue pas en soi un motif de conscience.</w:t>
      </w:r>
    </w:p>
    <w:p>
      <w:r>
        <w:rPr>
          <w:b/>
        </w:rPr>
        <w:t>E. 5.3</w:t>
      </w:r>
    </w:p>
    <w:p>
      <w:r>
        <w:t>Le recourant soutient ensuite que le service militaire ne ferait qu'affecter son épanouissement. Dans le second complément à sa demande d'admission, le recourant affirmait déjà ce qui suit : "... je serai un zombie et un poids lourd si vous m'enrôlez de force dans votre armée mais si vous me laissez donner une période de ma vie à l'humanitaire, vous serez fier de moi. A vous de choisir : voulez-vous un poids lourd pour l'armée suisse ou un réel soutien pour le service civil ?". Lors de l'audition, le recourant a également déclaré qu'il ne voulait pas gaspiller son temps pour l'armée suisse (notes d'audition, lignes 256 et 274 s.) et qu'il aimerait faire ce dont il a envie pour faire une carrière dans le social (notes d'audition, lignes 256 s.). Il convient ici de rappeler que la loi sur le service civil a été créée pour résoudre le problème de l'objection de conscience ; partant, elle n'ouvre pas le libre choix entre le service militaire et le service civil. C'est dire que tant des motifs purement personnels - aspirations personnelles, formation, mode de vie - que psychologiques - difficultés d'adaptation, d'intégration à la vie militaire - n'entrent pas dans le champ d'application de la loi (Message du Conseil fédéral du 22 juin 1994 concernant la loi fédérale sur le service civil, FF 1994 III 1597 ss, 1626). On ne peut dès lors pas reprocher à la Commission d'admission d'avoir en substance considéré que ces éléments ne pouvaient pas être pris en considération dans le sens d'une admission au service civil.</w:t>
      </w:r>
    </w:p>
    <w:p>
      <w:r>
        <w:rPr>
          <w:b/>
        </w:rPr>
        <w:t>E. 5.4</w:t>
      </w:r>
    </w:p>
    <w:p>
      <w:r>
        <w:t>Enfin, le recourant souligne qu'il a lu dans la presse que 12'000 personnes ont été admises au service civil durant l'année 2008. Il estime ainsi que la Commission d'admission ferait une grave erreur de le placer dans l'armée suisse en raison du surnombre dans les rangs du service civil. Pour être admis au service civil, le requérant doit démontrer l'existence d'un conflit de conscience qui l'empêche d'accomplir son obligation de servir dans l'armée. Dès lors, l'argument du surnombre de civilistes invoqué par le recourant est totalement dénué de pertinence.</w:t>
      </w:r>
    </w:p>
    <w:p>
      <w:r>
        <w:rPr>
          <w:b/>
        </w:rPr>
        <w:t>E. 5.5</w:t>
      </w:r>
    </w:p>
    <w:p>
      <w:r>
        <w:t>Pour le reste, il sied de constater que le recourant ne formule aucun grief à l'encontre de la décision attaquée, soit en d'autres termes à l'encontre de l'appréciation de la Commission d'admission relative aux cinq dimensions énumérées à l'art. 18b LSC. Dès lors, point n'est besoin d'examiner si la Commission d'admission a correctement apprécié l'exposé du conflit de conscience du recourant, appréciation qui, au demeurant, apparaît sur la base du dossier en tous points soutenable. Au demeurant, on doit bien constater que, lors de l'audition, les réponses apportées par le recourant restent très générales et manquent de substance et de profondeur. Le recourant s'est en effet limité à affirmer et énumérer certaines valeurs, telles que le respect de la vie ou l'égalité entre les hommes, sans parvenir à expliquer ni à rendre vraisemblable le caractère contraignant et normatif qui les sous-tend. Selon la jurisprudence, la seule énumération d'une série de valeurs - exposées comme en l'espèce à l'état brut - ne permet pas à elle seule de conclure à l'existence d'un conflit de conscience (décision non publiée de l'ancienne Commission de recours DFE [96/5C-005] du 11 novembre 1997 consid. 4.3).</w:t>
      </w:r>
    </w:p>
    <w:p>
      <w:r>
        <w:rPr>
          <w:b/>
        </w:rPr>
        <w:t>E. 6</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7</w:t>
      </w:r>
    </w:p>
    <w:p>
      <w:r>
        <w:t>La procédure devant le Tribunal administratif fédéral étant gratuite en matière de service civil, il n'y a pas lieu de percevoir de frais de procédure ni d'allouer de dépens (art. 65 al. 1 LSC).</w:t>
      </w:r>
    </w:p>
    <w:p>
      <w:r>
        <w:rPr>
          <w:b/>
        </w:rPr>
        <w:t>E. 8</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