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B-5905/2013 vom 10. Dezember 2013</w:t>
      </w:r>
    </w:p>
    <w:p>
      <w:r>
        <w:t>Bundesverwaltungsgericht, 2013-12-10, DE</w:t>
      </w:r>
    </w:p>
    <w:p>
      <w:r>
        <w:rPr>
          <w:b/>
        </w:rPr>
        <w:t xml:space="preserve">Quelle: </w:t>
      </w:r>
      <w:r>
        <w:t>https://mcp.opencaselaw.ch/entscheid/bvger_B-5905_2013</w:t>
      </w:r>
    </w:p>
    <w:p>
      <w:r>
        <w:t>FR: TAF B-5905/2013 du 10 décembre 2013</w:t>
      </w:r>
    </w:p>
    <w:p>
      <w:r>
        <w:t>IT: TAF B-5905/2013 del 10 dicembre 2013</w:t>
      </w:r>
    </w:p>
    <w:p>
      <w:pPr>
        <w:pStyle w:val="Heading2"/>
      </w:pPr>
      <w:r>
        <w:t>Regeste</w:t>
      </w:r>
    </w:p>
    <w:p>
      <w:r>
        <w:t>Internationale Amtshilfe</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Dazu gehören auch die Amtshilfeverfügungen der Vorinstanz. Da kein Ausschlussgrund nach Art. 32 VGG vorliegt, ist das Bundesverwaltungsgericht für die Behandlung der vorliegenden Beschwerde im Sinne der Art. 31 und 33 lit. e VGG i.V.m. Art. 38 Abs. 5 des Bundesgesetzes über die Börsen und den Effektenhandel vom 24. März 1995 (Börsengesetz, BEHG, SR 954.1) zuständig.</w:t>
      </w:r>
    </w:p>
    <w:p>
      <w:r>
        <w:rPr>
          <w:b/>
        </w:rPr>
        <w:t>E. 1.2</w:t>
      </w:r>
    </w:p>
    <w:p>
      <w:r>
        <w:t>Als durch die Amtshilfe betroffener Kontoinhaber und Adressat der Verfügung ist der Beschwerdeführer beschwerdelegitimiert im Sinne von Art. 48 VwVG i.V.m. Art. 38 Abs. 5 BEHG. Die Beschwerdefrist sowie die Anforderungen an Form und Inhalt der Beschwerdeschrift wurden gewahrt (vgl. Art. 38 Abs. 5 BEHG sowie Art. 52 Abs. 1 VwVG), die Vertretungsvollmacht liegt vor (vgl. Art. 11 Abs. 1 VwVG), der Kostenvorschuss wurde geleistet (vgl. Art. 63 Abs. 4 VwVG). Da auch die übrigen Sachurteilsvoraussetzungen vorliegen, ist auf die Beschwerde einzutreten (vgl. Art. 44 ff. VwVG).</w:t>
      </w:r>
    </w:p>
    <w:p>
      <w:r>
        <w:rPr>
          <w:b/>
        </w:rPr>
        <w:t>E. 2.1</w:t>
      </w:r>
    </w:p>
    <w:p>
      <w:r>
        <w:t>Gemäss Art. 38 Abs. 2 BEHG darf die Vorinstanz ausländischen Finanzmarktaufsichtsbehörden nicht öffentlich zugängliche Auskünfte und sachbezogene Unterlagen übermitteln, sofern diese Informationen ausschliesslich zur Durchsetzung von Regulierungen über Börsen, Effektenhandel und Effektenhändler verwendet oder zu diesem Zweck an andere Behörden, Gerichte oder Organe weitergeleitet werden (lit. a; Spezialitätsprinzip) sowie die ersuchenden Behörden an ein Amts- oder Berufsgeheimnis gebunden sind, wobei die Vorschriften über die Öffentlichkeit von Verfahren und die Orientierung der Öffentlichkeit über solche Verfahren vorbehalten bleiben (lit. b; Vertraulichkeitsprinzip).</w:t>
      </w:r>
    </w:p>
    <w:p>
      <w:r>
        <w:rPr>
          <w:b/>
        </w:rPr>
        <w:t>E. 2.2</w:t>
      </w:r>
    </w:p>
    <w:p>
      <w:r>
        <w:t>Die BaFin stellt eine börsenrechtliche Aufsichtsbehörde dar, welcher die Vorinstanz gemäss ständiger Rechtsprechung Amtshilfe leisten kann (vgl. BVGE 2007/28 E. 4 mit Hinweis). Sie sichert in ihrem Ersuchen die vertrauliche Behandlung sowie die Zweckgebundenheit der Informationen zu und die angefochtene Verfügung der Vorinstanz vom 3. Oktober 2013 enthält in Ziff. 2 des Dispositivs die entsprechenden Vorbehalte. Diesbezüglich sind die Voraussetzungen für die Leistung von Amtshilfe ohne Weiteres gegeben. 3.Der Beschwerdeführer bringt im Rahmen seiner Beschwerde vor, dass kein hinreichender Anfangsverdacht vorliege bzw. dass er im Falle einer gegenteiligen Ansicht als "unbeteiligter Dritter" anzusehen sei. 3.1 Gemäss Art. 38 Abs. 4 Satz 2 BEHG hat die Vorinstanz im Rahmen des Amtshilfeverfahrens den Grundsatz der Verhältnismässigkeit zu berücksichtigen. Gemäss ständiger Rechtsprechung muss in diesem Zusammenhang einerseits ein konkreter Anfangsverdacht bestehen und andererseits ist die Übermittlung von Informationen über Personen, die offensichtlich nicht in die zu untersuchende Angelegenheit verwickelt sind ("unbeteiligte Dritte"), unzulässig (Art. 38 Abs. 4 Satz 3 BEHG). 3.2 3.2.1 An den Anfangsverdacht sind gemäss ständiger Rechtsprechung keine allzu hohen Anforderungen zu stellen, da im Zeitpunkt des Ersuchens bzw. der Übermittlung von Informationen noch nicht feststeht, ob diese der ersuchenden Behörde dienlich sein werden. Es genügt daher,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Es reicht dabei aus, wenn in diesem Stadium erst Indizien oder abstrakte Hinweise auf eine mögliche Verletzung börsenrechtlicher Vorschriften bestehen und die ersuchten Informationen nicht ohne jeden Bezug zu den vermuteten Unregelmässigkeiten stehen. Verboten sind mithin reine Beweisausforschungen ("fishing expeditions"). Soweit die Behörden des ersuchenden Staates verpflichtet sind, in diesem Rahmen den massgeblichen Sachverhalt darzulegen, kann von ihnen nicht erwartet werden, dass sie dies lückenlos und völlig widerspruchsfrei tun, zumal bisher im Dunkeln gebliebene Punkte gestützt auf die ersuchten Informationen und Unterlagen erst noch geklärt werden müssen (vgl. Urteil des Bundesverwaltungsgerichts B-5297/2008 vom 5. November 2008 E. 5.1 mit Hinweisen). Im Zusammenhang mit dem vorliegenden Fall ist zudem darauf hinzuweisen, dass gemäss Rechtsprechung bereits das Vorliegen von Transaktionen überhaupt in der kritischen Zeitspanne für die Begründung des erforderlichen Anfangsverdachts ausreicht und dass die um Amtshilfe ersuchende ausländische Aufsichtsbehörde nicht verpflichtet ist, weitere Anhaltspunkte dafür zu liefern, dass zwischen dem Auftraggeber der Transaktionen und den Urhebern von irreführenden Informationen eine Beziehung besteht (vgl. BVGE 2007/28 E. 6.2). 3.2.2 Im vorliegenden Fall ist festzustellen, dass entgegen der Ansicht des Beschwerdeführers die Voraussetzung eines genügend konkreten Anfangsverdachtes gegeben ist. Wie dem Ersuchen der BaFin vom 10. August 2012 entnommen werden kann, geht sie von einem Verstoss gegen das Verbot der Marktmanipulation in der Form des sog. "Scalping" aus. Unter "Scalping" versteht das deutsche Kapitalmarktrecht die öffentliche Empfehlung eines Finanzinstruments, über das der "Scalper" zuvor eine eigene Position eingenommen hat (z.B. durch den Kauf von Wertpapieren), um anschliessend die zu seinen Gunsten eintretende Preisveränderung durch Glattstellung (z.B. Verkauf der Wertpapiere) zu nutzen (BVGE 2011/14 E. 5.3.2 mit Hinweisen). Entgegen der Ansicht des Beschwerdeführers geht die BaFin klar verständlich und denn auch in keiner Weise unsubstantiiert davon aus, dass eine mittels Börsenbrief-Empfehlungen bewirkte steigende Nachfrage und daraus folgende Kurssteigerung bei den im Marktsegment Freiverkehr an der Frankfurter Wertpapierbörse gelisteten Aktien der B._______ Ltd. von den Urhebern der Börsenbriefe und/oder mit ihnen verbundenen Personen genutzt wurde, um eigene Aktienbestände gewinnbringend veräussern zu können, ohne dass dieser Interessenkonflikt in angemessener und wirksamer Weise offenbart wurde. In diesem Zusammenhang seien zwischen dem 5. März 2012 und dem 24. April 2012 auffällige Auftragserteilungen durch die C._______ SA erfolgt, wobei die Auffälligkeit darin bestanden habe, dass über die Bank eine Vielzahl von Odererteilungen mit deutlichem Übergewicht auf der Verkaufsseite erfolgt seien. Im Rahmen ihres Ersuchens legt die BaFin den Sachverhalt, welcher den Anfangsverdacht auslöste, ausreichend dar und nannte die gesetzlichen Grundlagen der Untersuchung sowie die benötigten Informationen und Unterlagen. Auch erscheint es nicht willkürlich, wenn die BaFin bezüglich des Handels der B._______ Ltd.-Aktien Nachforschungen anstellt. So ist dem betreffenden Chart der Frankfurter Wertpapierbörse (www.boerse-frankfurt.de) zu entnehmen, dass sich der Kurs der B._______ Ltd.-Aktie zwischen dem 2. März 2012 (EUR 0.39) und dem 19. März 2012, dem Tag vor dem beispielhaft angeführten ersten Börsenbrief, bei niedrigem Handelsvolumen (zwischen 2'480 und 21'125 Stück/Tag) auf EUR 1.81 mehr als vervierfacht hat. Mit dem angeführten Börsenbrief vom 20. März 2012 stieg das Volumen gleichentags sprunghaft an (119'098 Stück); der zweite angeführte Börsenbrief bewirkte am 17. April 2012 denselben Effekt (307'088 Stück). Ein sechsstelliges Handelsvolumen wurde bis zum 24. April 2012 in 36 Handelstagen gerademal sechsmal erreicht und dies bis auf eine Ausnahme im nahen Umfeld (+/- eine Woche) zu den erwähnten Börsenbriefen; der Kurs betrug am 24. April 2012 EUR 2.47 (+37% gegenüber dem 19. März 2012). Wie nachfolgend aufzuzeigen ist, wird sich die BaFin darüber auszusprechen haben, ob vorliegend tatsächlich eine unerlaubte Marktmanipulation stattgefunden hat oder ob der Kursverlauf der Aktie eine der Logik des Marktes entsprechende Folge von - gemäss Beschwerdeführer - zutreffenden und zulässigen Börsenbriefen und Pressemitteilungen gewesen ist (vgl. E. 3.3). In jedem Fall stellen der Kursverlauf in Kombination mit den angeführten Börsenbrief-Empfehlungen und der Entwicklung des Handelsvolumens der B._______ Ltd.-Aktie genügend Indizien hinsichtlich einer möglichen Verletzung börsenrechtlicher Vorschriften dar. Es ist zudem nicht auszuschliessen und wird vom Beschwerdeführer auch nicht ausdrücklich bestritten, dass die ersuchten Informationen zur Aufklärung des geschilderten Sachverhalts erheblich sein könnten, zumal ebenso unbestritten und mit den entsprechenden Bankunterlagen belegt ist, dass der Beschwerdeführer in der umstrittenen Zeitspanne mit Aktien der B._______ Ltd. gehandelt hat. Schliesslich sind die ersuchten Informationen hinsichtlich der umstrittenen Transaktionen, des betreffenden Bankinstituts, des Zielobjektes sowie des betreffenden Zeitraumes präzis umschrieben und klar begrenzt; von einer reinen Beweisausforschung kann deshalb keine Rede sein. 3.3 Nicht gefolgt werden kann dem Beschwerdeführer auch hinsichtlich dessen Argumentation, dass er als "unbeteiligter Dritter" anzusehen sei. Im Rahmen der Amtshilfe hat sich die Vorinstanz nicht darüber auszusprechen, ob die im Ersuchen genannten Tatsachen zutreffen oder nicht. Es genügt, wenn die Sachverhaltsschilderung der ersuchenden Behörde nicht offensichtlich fehler- oder lückenhaft oder widersprüchlich erscheint und ein hinreichender Anfangsverdacht gegeben ist (vgl. zuvor E. 3.2). Die weiteren, eigentlichen Abklärungen obliegen der ausländischen Aufsichtsbehörde; erst sie hat die ihr amtshilfeweise gelieferten Informationen im Zusammenhang mit eigenen weiteren Abklärungen umfassend zu würdigen. Gelingt es den an den kritischen Transaktionen beteiligten, ins Aufsichtsverfahren einbezogenen Personen nicht, den Anfangsverdacht klarerweise und entscheidend zu entkräften, ist die Amtshilfe zu gewähren (vgl. BVGE 2007/28 E. 5 mit Hinweisen). Der Beschwerdeführer wendet vergeblich ein, dass er bereits vor dem von der BaFin als Beweismittel vorgelegten Börsenbrief umfangreiche Verkaufsgeschäfte und sowohl nach dem Erscheinen des ersten wie auch des zweiten Börsenbriefes gestützt auf eine Pressemitteilung der B._______ Ltd. vom 2. März 2012 substantielle Kaufsgeschäfte getätigt habe. So lassen sich die verschiedenen Transaktionen äusserlich nicht in verdächtige und unverdächtige unterteilen und es wird daher die Aufgabe der BaFin sein abzuklären, ob bei den umstrittenen Geschäften tatsächlich börsenrechtliche Bestimmungen verletzt worden sind (vgl. BGE 126 II 126 E. 6a/bb). Der blosse Hinweis, dass bereits vor dem Börsenbrief umfangreiche Verkaufsgeschäfte und sowohl nach dem Erscheinen des ersten wie auch des zweiten Börsenbriefes substantielle Kaufsgeschäfte getätigt worden seien, vermag gemäss Rechtsprechung allfällige Verstösse gegen börsenrechtliche Bestimmungen ebensowenig auszuschliessen bzw. den Anfangsverdacht unmissverständlich und offensichtlich zu entkräften wie die Verjährungseinrede, die Berufung auf das Volumen bzw. die unterschiedliche Gesamtsumme der in der strittigen Periode veräusserten bzw. erworbenen Titel, die Kursentwicklung bzw. das Vorliegen eines allfälligen Verlustgeschäftes, die Höhe der Beteiligung oder die Beweggründe bzw. auslösenden Faktoren für die umstrittenen Transaktionen (vgl. Urteile des Bundesverwaltungsgerichts B-6039/2008 vom 8. Dezember 2008 E. 7.1 mit Hinweisen, B-6040/2008 vom 8. Dezember 2008 E. 5.1 mit Hinweisen, B-3900/2008 vom 24. Juli 2008 E. 4.2 bzw. B-2980/2007 vom 26. Juli 2007 E. 6.3 ff. mit Hinweisen, Urteil des Bundesgerichts 2A.494/2004 vom 17. November 2004 E. 4.2 f. mit Hinweisen). Auch ist in diesem Zusammenhang darauf hinzuweisen, dass gemäss ständiger Rechtsprechung bereits der Umstand, dass - wie vorliegend der Fall - umstrittene Transaktionen über das Konto des betreffenden Bankkunden liefen, diesen grundsätzlich bereits in die zu untersuchende Angelegenheit verwickelt erscheinen lässt (vgl. BGE 126 II 126 E. 6a/bb mit Hinweisen). Die vom Beschwerdeführer vorgebrachten Argumente genügen daher nicht, um den Anfangsverdacht klarerweise und entscheidend zu entkräften, so dass dieser als unbeteiligter Dritter anzusehen wäre. 4.Hinsichtlich seines Eventualantrags um Aufhebung von Dispositiv-Ziff. 4 der angefochtenen Verfügung bringt der Beschwerdeführer vor, dass er im vorliegenden Verfahren lediglich von seinem Anspruch auf rechtliches Gehör Gebrauch gemacht habe, und dass dies nicht mit der Auflegung einer Gebühr "abgestraft" werden dürfe. Er habe denn auch die Verfügung nicht "veranlasst". Vielmehr sei diese eine unmittelbare Folge des Amtshilfegesuches der BaFin. 4.1 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(vgl. Ulrich Häfelin/Georg Müller/Felix Uhlmann, Allgemeines Verwaltungsrecht, 6. Aufl., Zürich/St. Gallen 2010, S. 46, Rz. 216 ff.). 4.2 Gemäss Art. 5 Abs. 1 lit. a der Verordnung über die Erhebung von Gebühren und Abgaben durch die Eidgenössische Finanzmarktaufsicht vom 15. Oktober 2008 (FINMA-Gebühren- und Abgabenverordnung, FINMA-GebV, SR 956.122) ist gebührenpflichtig, wer eine Verfügung veranlasst. Dem Erläuterungsbericht der Eidgenössischen Finanzverwaltung EFV zur FINMA-Gebührenverordnung vom 6. März 2008 (nachfolgend: Erläuterungsbericht) lässt sich in diesem Zusammenhang die Absicht des Verordnungsgebers klar entnehmen: Der Aufwand der Vorinstanz soll kostendeckend und möglichst verursachergerecht erfasst und einer Person zugeordnet werden; eine Quersubventionierung zwischen den einzelnen Bereichen soll vermieden werden (vgl. Erläuterungsbericht, S. 1 f. u. 4). Der Erläuterungsbericht sieht denn auch hinsichtlich Art. 5 Abs. 1 FINMA-GebV vor, dass derjenige die Kosten des Verfahrens zu tragen hat, der genügend Anlass für selbiges gesetzt hat oder in einem Verfahren mutmasslich unterlegen wäre (vgl. S. 4; Verursacherprinzip). Dies gilt selbst dann, wenn das Verfahren nicht mit einer Verfügung endet oder eingestellt wird (vgl. Art. 5 Abs. 1 lit. b FINMA-GebV; Erläuterungsbericht S. 4). Wenn der Beschwerdeführer sich auf den Standpunkt stellt, dass die BaFin die angefochtene Verfügung durch ihr Amtshilfeersuchen "veranlasst" habe, so verkennt er damit, dass mit "veranlassen" nicht der formelle Anlass, sprich das Amtshilfeersuchen, sondern der tatsächliche Anlass gemeint ist. Dieser ist im vorliegenden Fall entgegen der Ansicht des Beschwerdeführers weder das Amtshilfeersuchen der BaFin noch die Wahrnehmung der ihm zukommenden Verfahrens- und Prozessrechte des Beschwerdeführers bzw. insbesondere auch nicht dessen "Schuld" oder "Unschuld", sondern das konkrete Verhalten des Beschwerdeführers auf dem ausländischen Finanzmarkt, das eine Untersuchung der BaFin sowie eine (zulässige) Amtshilfehandlung der Vorinstanz zur Folge hat. In diesem Zusammenhang ist auch darauf hinzuweisen, dass wer auf ausländischen Finanzmärkten operiert, sich damit ausländischem Aufsichtsrecht unterstellt und somit in Kauf nehmen muss, in aufsichtsrechtliche Verfahren im Ausland einbezogen zu werden (vgl. BVGE 2011/14 E. 5.4.2). Auch entspricht es der gängigen Praxis, dass die Kosten der Vorinstanz für Amtshilfehandlungen auf die betroffenen Personen und Gesellschaften überwälzt werden (vgl. Hans-Peter Schaad, in: Rolf Watter/Nedim Peter Vogt [Hrsg.], Basler Kommentar zum Börsengesetz, 2. Aufl., Basel 2011, Art. 38 N. 26). Wie zuvor aufgezeigt (vgl. E. 3), ist unbestritten und mit den entsprechenden Bankunterlagen belegt, dass der Beschwerdeführer in der umstrittenen Zeitspanne mit Aktien der B._______ Ltd. gehandelt hat; Nachforschungen der BaFin bezüglich des Handels der B._______ Ltd.-Aktien erscheinen zudem nicht willkürlich. Im Weiteren ging die Vorinstanz im vorliegenden Fall zurecht von der Zulässigkeit der Gewährung von Amtshilfe aus, wobei es sich beim Beschwerdeführer insbesondere auch nicht um einen "unbeteiligten Dritten" handelt. Vor diesem Hintergrund ist der Beschwerdeführer als "Veranlasser" der angefochtenen Verfügung anzusehen, wodurch er die Kosten für deren Ausfertigung zu tragen hat. 5.Zusammenfassend ist festzuhalten, dass im vorliegenden Fall die Voraussetzungen für die Gewährung von Amtshilfe gegeben sind. So liegt insbesondere ein genügend konkreter Anfangsverdacht vor und der Beschwerdeführer ist nicht als "unbeteiligter Dritter" anzusehen. Schliesslich ist festzustellen, dass der Beschwerdeführer als "Veranlasser" gebührenpflichtig für die angefochtene Verfügung ist. 6.Gemäss Art. 63 Abs. 1 VwVG auferlegt die Beschwerdeinstanz die Verfahrenskosten in der Regel der unterliegenden Partei. Diese können jedoch gemäss Art. 6 des Reglements über die Kosten und Entschädigungen vor dem Bundesverwaltungsgericht vom 21. Februar 2008 (VGKE, SR 173.320.2) einer Partei, der keine unentgeltliche Rechtspflege gewährt wird, ganz oder teilweise erlassen werden, wenn ein Rechtsmittel ohne erheblichen Aufwand für das Gericht durch Rückzug oder Vergleich erledigt wird (lit. a) oder wenn andere Gründe in der Sache oder in der Person der Partei es als unverhältnismässig erscheinen lassen, sie ihr aufzuerlegen (lit. b). Auf einen Kostenerlass im Sinne von Art. 6 VGKE besteht kein Anspruch; der Entscheid hierüber liegt im Ermessen des Spruchkörpers (vgl. Andre Moser et al., Prozessieren vor dem Bundesverwaltungsgericht, Basel 2008, S. 212, Rz. 4.61). Vorliegend besteht kein Anlass zu einem gänzlichen oder teilweisen Kostenerlass. So ist einleitend anzumerken, dass die Anwendung von Art. 6 lit. b VGKE restriktiv zu handhaben und nur in Ausnahmefällen anzuwenden ist, so beispielsweise wenn mit der Beschwerde ideelle Ziele verfolgt werden, wenn das öffentliche Interesse an der Abklärung einer Streitsache einen Kostenerlass rechtfertigt, wenn sich die unterliegende Partei in einer finanziellen Notlage befindet, wenn eine neue Praxis erstmals zur Anwendung gelangt und die beschwerdeführende Partei gestützt auf die bisherige Praxis damit rechnen durfte, dass auf ihre Beschwerde eingetreten werde, oder bei einer Rückweisung wegen Verletzung des rechtlichen Gehörs oder der Heilung einer Gehörsverletzung im Verfahren vor dem Bundesverwaltungsgericht (vgl. Moser et al., a.a.O., S. 211 f., Rz. 4.60). Vorliegend ist weder ersichtlich noch wird es vom Beschwerdeführer (substantiiert) vorgebracht, dass in casu ein Ausnahmefall vorliegt. Im vorliegenden Verfahren hat der Beschwerdeführer die Aufhebung der Verfügung der Vorinstanz bzw. im Eventualantrag dessen Dispositiv-Ziff. 4 beantragt und ist mit seinen Anträgen vollständig unterlegen. Es sind hinsichtlich des Verfahrens vor dem Bundesverwaltungsgericht keinerlei Gründe ersichtlich, die eine Abkehr von der - nicht zuletzt auch in Amtshilfefällen - angewandten Praxis der Kostenauferlegung rechtfertigen würden. Auch stehen weder der Grundsatz der Gewährung des rechtlichen Gehörs noch die allgemeinen Verfahrensgarantien grundsätzlich der Kostenauferlegung bei Abweisung eines Rechtsmittels entgegen. An dieser Sichtweise ändert sich auch nichts, wenn das aufsichtsrechtliche Verfahren im Ausland zum Schluss kommen sollte, dass dem Beschwerdeführer keine Verstösse gegen rechtliche Bestimmungen zur Last gelegt werden können. So geht es - wie zuvor ausgeführt - im vorliegenden Verfahren lediglich um die Frage, ob ein hinreichender, nicht entkräfteter Anfangsverdacht gegen einen Beteiligten vorliegt, der die Gewährung der Amtshilfe rechtfertigt, was in casu der Fall ist (vgl. E. 3.2 f.). Die eigentliche "Schuldfrage" hingegen bildet gerade nicht Gegenstand des vorliegenden Verfahrens (vgl. E. 3.3). Der Beschwerdeführer hat demzufolge die Kosten des Verfahrens zu tragen. Diese werden auf Fr. 2'500.- festgelegt und mit dem geleisteten Kostenvorschuss in gleicher Höhe verrechnet. Der Beschwerdeführer hat bei diesem Ausgang des Verfahrens keinen Anspruch auf Parteientschädigung (vgl. Art. 64 Abs. 1 VwVG, Art. 7 Abs. 1 VGKE). 7.Dieser Entscheid kann nicht mit Beschwerde an das Bundesgericht weitergezogen werden (vgl. Art. 83 lit. h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