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B-5901/2022 vom 21. Dezember 2022</w:t>
      </w:r>
    </w:p>
    <w:p>
      <w:r>
        <w:t>Bundesverwaltungsgericht, 2022-12-21, FR</w:t>
      </w:r>
    </w:p>
    <w:p>
      <w:r>
        <w:rPr>
          <w:b/>
        </w:rPr>
        <w:t xml:space="preserve">Quelle: </w:t>
      </w:r>
      <w:r>
        <w:t>https://mcp.opencaselaw.ch/entscheid/bvger_B-5901_2022</w:t>
      </w:r>
    </w:p>
    <w:p>
      <w:r>
        <w:t>FR: TAF B-5901/2022 du 21 décembre 2022</w:t>
      </w:r>
    </w:p>
    <w:p>
      <w:r>
        <w:t>IT: TAF B-5901/2022 del 21 dicembre 2022</w:t>
      </w:r>
    </w:p>
    <w:p>
      <w:pPr>
        <w:pStyle w:val="Heading2"/>
      </w:pPr>
      <w:r>
        <w:t>Regeste</w:t>
      </w:r>
    </w:p>
    <w:p>
      <w:r>
        <w:t>Surveillance des fondations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accusé réception du recours du 20 décembre 2022 et de ses annexes.</w:t>
      </w:r>
    </w:p>
    <w:p>
      <w:r>
        <w:rPr>
          <w:b/>
        </w:rPr>
        <w:t>E. 2</w:t>
      </w:r>
    </w:p>
    <w:p>
      <w:r>
        <w:t>La requête en restitution de l'effet suspensif à titre superprovisionnel est rejetée.</w:t>
      </w:r>
    </w:p>
    <w:p>
      <w:r>
        <w:rPr>
          <w:b/>
        </w:rPr>
        <w:t>E. 3</w:t>
      </w:r>
    </w:p>
    <w:p>
      <w:r>
        <w:t>La requête de mesures superprovisionnelles est partiellement admise en ce sens que le mandat des commissaires est limité à la gestion courante des affaires de l'intimée.</w:t>
      </w:r>
    </w:p>
    <w:p>
      <w:r>
        <w:rPr>
          <w:b/>
        </w:rPr>
        <w:t>E. 4</w:t>
      </w:r>
    </w:p>
    <w:p>
      <w:r>
        <w:t>Un double de l'acte de recours et de ses annexes est transmis à l'autorité inférieure et à l'intimée.</w:t>
      </w:r>
    </w:p>
    <w:p>
      <w:r>
        <w:rPr>
          <w:b/>
        </w:rPr>
        <w:t>E. 5</w:t>
      </w:r>
    </w:p>
    <w:p>
      <w:r>
        <w:t>L'autorité inférieure est invitée jusqu'au 3 janvier 2023 à se déterminer sur la requête de restitution de l'effet suspensif en trois exemplaires et à produire le dossier complet de la cause accompagné des pièces réunies en un bordereau et numérotées. Le délai ne sera pas prolongé. À défaut de détermination dans le délai imparti, il sera statué sur ladite demande sur la base du dossier.</w:t>
      </w:r>
    </w:p>
    <w:p>
      <w:r>
        <w:rPr>
          <w:b/>
        </w:rPr>
        <w:t>E. 6</w:t>
      </w:r>
    </w:p>
    <w:p>
      <w:r>
        <w:t>L'intimée dispose de la possibilité jusqu'au 3 janvier 2023 de se déterminer sur la requête de restitution de l'effet suspensif en trois exemplaires.</w:t>
      </w:r>
    </w:p>
    <w:p>
      <w:r>
        <w:rPr>
          <w:b/>
        </w:rPr>
        <w:t>E. 7</w:t>
      </w:r>
    </w:p>
    <w:p>
      <w:r>
        <w:t>Les frais de la présente décision incidente sont réservés.</w:t>
      </w:r>
    </w:p>
    <w:p>
      <w:r>
        <w:rPr>
          <w:b/>
        </w:rPr>
        <w:t>E. 8</w:t>
      </w:r>
    </w:p>
    <w:p>
      <w:r>
        <w:t>La présente décision incidente est adressée au recourant, à l'intimée, à l'autorité inférieure, aux commissaires et au registre du commerce du canton de [...]. Le Président de Cour : Pascal Richard Expédition : 21 décembre 2022 La présente décision incidente est adressée : - au recourant (par courrier électronique et recommandé) ; - à l'intimée (par courrier électronique et recommandé ; annexes : cf. chiffre 4) ; - à l'autorité inférieure (n° de réf. [...] ; par courrier électronique et recommandé ; annexes : cf. chiffre 4) ; - au Registre du commerce du canton de [...], [...] (recommandé) ; - [aux commissaires] (par courrier électronique et recommandé).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